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122D" w14:textId="77777777" w:rsidR="00FE013F" w:rsidRDefault="00A15FBE">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Processo SEI nº _______________________</w:t>
      </w:r>
    </w:p>
    <w:p w14:paraId="3C622D20" w14:textId="77777777" w:rsidR="00FE013F" w:rsidRDefault="00FE013F">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D6A0A4E" w14:textId="77777777" w:rsidR="00FE013F" w:rsidRDefault="00FE013F">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81A1879" w14:textId="77777777" w:rsidR="00FE013F" w:rsidRDefault="00A15FBE">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RELATÓRIO DE VERIFICAÇÃO - INEXIGIBILIDADE </w:t>
      </w:r>
    </w:p>
    <w:p w14:paraId="6C298E08" w14:textId="77777777" w:rsidR="00FE013F" w:rsidRDefault="00A15FBE">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ARTIGO 74, INCISO II, LEI 14.133/2021</w:t>
      </w:r>
    </w:p>
    <w:p w14:paraId="113AABF7" w14:textId="77777777" w:rsidR="00FE013F" w:rsidRDefault="00A15FBE">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INVIABILIDADE DE COMPETIÇÃO – PROFISSIONAL DO SETOR ARTÍSTICO (DISPENSA DE TRÂMITE PG)</w:t>
      </w:r>
    </w:p>
    <w:p w14:paraId="12E3DB4E" w14:textId="77777777" w:rsidR="00FE013F" w:rsidRDefault="00FE013F">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p>
    <w:p w14:paraId="4A60F822" w14:textId="77777777" w:rsidR="00FE013F" w:rsidRDefault="00A15FBE">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Unidade/Órgão: __________________________________________________</w:t>
      </w:r>
    </w:p>
    <w:p w14:paraId="051BFE0E" w14:textId="77777777" w:rsidR="00FE013F" w:rsidRDefault="00A15FBE">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Interessado: _____________________________________________________</w:t>
      </w:r>
    </w:p>
    <w:p w14:paraId="1DEE206D" w14:textId="77777777" w:rsidR="00FE013F" w:rsidRDefault="00A15FBE">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Objeto: ________________________________________________________</w:t>
      </w:r>
    </w:p>
    <w:p w14:paraId="535EB80F" w14:textId="77777777" w:rsidR="00FE013F" w:rsidRDefault="00A15FBE">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Valor: R$ ____________  </w:t>
      </w:r>
    </w:p>
    <w:p w14:paraId="73C7F5B5" w14:textId="77777777" w:rsidR="00FE013F" w:rsidRDefault="00A15FBE">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Fundamento legal: </w:t>
      </w:r>
      <w:r>
        <w:rPr>
          <w:rFonts w:ascii="Arial" w:eastAsia="Arial" w:hAnsi="Arial" w:cs="Arial"/>
          <w:b/>
          <w:color w:val="000000"/>
          <w:sz w:val="24"/>
          <w:szCs w:val="24"/>
        </w:rPr>
        <w:t>art. 74, inciso II</w:t>
      </w:r>
      <w:r>
        <w:rPr>
          <w:rFonts w:ascii="Arial" w:eastAsia="Arial" w:hAnsi="Arial" w:cs="Arial"/>
          <w:b/>
          <w:i/>
          <w:color w:val="000000"/>
          <w:sz w:val="24"/>
          <w:szCs w:val="24"/>
        </w:rPr>
        <w:t xml:space="preserve">, </w:t>
      </w:r>
      <w:r>
        <w:rPr>
          <w:rFonts w:ascii="Arial" w:eastAsia="Arial" w:hAnsi="Arial" w:cs="Arial"/>
          <w:b/>
          <w:color w:val="000000"/>
          <w:sz w:val="24"/>
          <w:szCs w:val="24"/>
        </w:rPr>
        <w:t>da Lei n</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14.133/2021</w:t>
      </w:r>
    </w:p>
    <w:p w14:paraId="592A0DEC" w14:textId="77777777" w:rsidR="00FE013F" w:rsidRDefault="00FE013F">
      <w:pPr>
        <w:ind w:left="0" w:hanging="2"/>
        <w:rPr>
          <w:rFonts w:ascii="Arial" w:eastAsia="Arial" w:hAnsi="Arial" w:cs="Arial"/>
          <w:sz w:val="24"/>
          <w:szCs w:val="24"/>
        </w:rPr>
      </w:pPr>
    </w:p>
    <w:p w14:paraId="3D65099A" w14:textId="77777777" w:rsidR="00FE013F" w:rsidRDefault="00A15FBE">
      <w:pPr>
        <w:ind w:left="0" w:hanging="2"/>
        <w:rPr>
          <w:rFonts w:ascii="Arial" w:eastAsia="Arial" w:hAnsi="Arial" w:cs="Arial"/>
          <w:sz w:val="24"/>
          <w:szCs w:val="24"/>
        </w:rPr>
      </w:pPr>
      <w:r>
        <w:rPr>
          <w:noProof/>
        </w:rPr>
        <w:drawing>
          <wp:inline distT="0" distB="0" distL="114300" distR="114300" wp14:anchorId="1BCB323B" wp14:editId="5D52C637">
            <wp:extent cx="5389245" cy="302641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389245" cy="3026410"/>
                    </a:xfrm>
                    <a:prstGeom prst="rect">
                      <a:avLst/>
                    </a:prstGeom>
                    <a:ln/>
                  </pic:spPr>
                </pic:pic>
              </a:graphicData>
            </a:graphic>
          </wp:inline>
        </w:drawing>
      </w:r>
    </w:p>
    <w:p w14:paraId="682E1DE1" w14:textId="77777777" w:rsidR="00FE013F" w:rsidRDefault="00FE013F">
      <w:pPr>
        <w:ind w:left="0" w:hanging="2"/>
        <w:rPr>
          <w:rFonts w:ascii="Arial" w:eastAsia="Arial" w:hAnsi="Arial" w:cs="Arial"/>
          <w:sz w:val="24"/>
          <w:szCs w:val="24"/>
        </w:rPr>
      </w:pPr>
    </w:p>
    <w:p w14:paraId="4C3D1EC6" w14:textId="77777777" w:rsidR="00FE013F" w:rsidRDefault="00FE013F">
      <w:pPr>
        <w:ind w:left="0" w:hanging="2"/>
        <w:rPr>
          <w:rFonts w:ascii="Arial" w:eastAsia="Arial" w:hAnsi="Arial" w:cs="Arial"/>
          <w:sz w:val="24"/>
          <w:szCs w:val="24"/>
        </w:rPr>
      </w:pPr>
    </w:p>
    <w:tbl>
      <w:tblPr>
        <w:tblStyle w:val="a"/>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3544"/>
        <w:gridCol w:w="4819"/>
      </w:tblGrid>
      <w:tr w:rsidR="00FE013F" w14:paraId="2640D8F5" w14:textId="77777777">
        <w:trPr>
          <w:trHeight w:val="435"/>
        </w:trPr>
        <w:tc>
          <w:tcPr>
            <w:tcW w:w="8613" w:type="dxa"/>
            <w:gridSpan w:val="3"/>
            <w:vAlign w:val="center"/>
          </w:tcPr>
          <w:p w14:paraId="5FD26A32"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t>1. Autorização da autoridade compe</w:t>
            </w:r>
            <w:r>
              <w:rPr>
                <w:rFonts w:ascii="Arial" w:eastAsia="Arial" w:hAnsi="Arial" w:cs="Arial"/>
                <w:b/>
                <w:sz w:val="24"/>
                <w:szCs w:val="24"/>
              </w:rPr>
              <w:t>tente para início da fase preparatória - Fls. _____</w:t>
            </w:r>
          </w:p>
        </w:tc>
      </w:tr>
      <w:tr w:rsidR="00FE013F" w14:paraId="4C68E2C8" w14:textId="77777777">
        <w:trPr>
          <w:trHeight w:val="427"/>
        </w:trPr>
        <w:tc>
          <w:tcPr>
            <w:tcW w:w="3794" w:type="dxa"/>
            <w:gridSpan w:val="2"/>
            <w:tcBorders>
              <w:bottom w:val="single" w:sz="4" w:space="0" w:color="000000"/>
            </w:tcBorders>
            <w:vAlign w:val="center"/>
          </w:tcPr>
          <w:p w14:paraId="20CFEBD9"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b/>
                <w:sz w:val="24"/>
                <w:szCs w:val="24"/>
              </w:rPr>
              <w:t>Competência</w:t>
            </w:r>
          </w:p>
        </w:tc>
        <w:tc>
          <w:tcPr>
            <w:tcW w:w="4819" w:type="dxa"/>
            <w:vAlign w:val="center"/>
          </w:tcPr>
          <w:p w14:paraId="6397AA30"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b/>
                <w:sz w:val="24"/>
                <w:szCs w:val="24"/>
              </w:rPr>
              <w:t>Fundamento</w:t>
            </w:r>
          </w:p>
        </w:tc>
      </w:tr>
      <w:tr w:rsidR="00FE013F" w14:paraId="0F2CE991" w14:textId="77777777">
        <w:trPr>
          <w:trHeight w:val="768"/>
        </w:trPr>
        <w:tc>
          <w:tcPr>
            <w:tcW w:w="250" w:type="dxa"/>
            <w:tcBorders>
              <w:bottom w:val="single" w:sz="4" w:space="0" w:color="000000"/>
              <w:right w:val="nil"/>
            </w:tcBorders>
            <w:vAlign w:val="center"/>
          </w:tcPr>
          <w:p w14:paraId="6ED0E959" w14:textId="77777777" w:rsidR="00FE013F" w:rsidRDefault="00FE013F">
            <w:pPr>
              <w:spacing w:before="80" w:after="80"/>
              <w:ind w:left="0" w:hanging="2"/>
              <w:rPr>
                <w:rFonts w:ascii="Arial" w:eastAsia="Arial" w:hAnsi="Arial" w:cs="Arial"/>
                <w:sz w:val="22"/>
                <w:szCs w:val="22"/>
              </w:rPr>
            </w:pPr>
          </w:p>
        </w:tc>
        <w:tc>
          <w:tcPr>
            <w:tcW w:w="3544" w:type="dxa"/>
            <w:tcBorders>
              <w:left w:val="nil"/>
              <w:bottom w:val="single" w:sz="4" w:space="0" w:color="000000"/>
            </w:tcBorders>
            <w:vAlign w:val="center"/>
          </w:tcPr>
          <w:p w14:paraId="5F94DB3D" w14:textId="77777777" w:rsidR="00FE013F" w:rsidRDefault="00A15FBE">
            <w:pPr>
              <w:spacing w:before="80" w:after="80"/>
              <w:ind w:left="0" w:hanging="2"/>
              <w:jc w:val="center"/>
              <w:rPr>
                <w:rFonts w:ascii="Arial" w:eastAsia="Arial" w:hAnsi="Arial" w:cs="Arial"/>
                <w:sz w:val="22"/>
                <w:szCs w:val="22"/>
              </w:rPr>
            </w:pPr>
            <w:r>
              <w:rPr>
                <w:rFonts w:ascii="Arial" w:eastAsia="Arial" w:hAnsi="Arial" w:cs="Arial"/>
                <w:sz w:val="22"/>
                <w:szCs w:val="22"/>
              </w:rPr>
              <w:t xml:space="preserve">Dirigentes de Unidades e Órgãos. </w:t>
            </w:r>
          </w:p>
        </w:tc>
        <w:tc>
          <w:tcPr>
            <w:tcW w:w="4819" w:type="dxa"/>
            <w:vAlign w:val="center"/>
          </w:tcPr>
          <w:p w14:paraId="6CABA02E" w14:textId="77777777" w:rsidR="00FE013F" w:rsidRDefault="00A15FBE">
            <w:pPr>
              <w:spacing w:before="80" w:after="80"/>
              <w:ind w:left="0" w:hanging="2"/>
              <w:jc w:val="center"/>
              <w:rPr>
                <w:rFonts w:ascii="Arial" w:eastAsia="Arial" w:hAnsi="Arial" w:cs="Arial"/>
                <w:sz w:val="22"/>
                <w:szCs w:val="22"/>
              </w:rPr>
            </w:pPr>
            <w:r>
              <w:rPr>
                <w:rFonts w:ascii="Arial" w:eastAsia="Arial" w:hAnsi="Arial" w:cs="Arial"/>
                <w:sz w:val="22"/>
                <w:szCs w:val="22"/>
              </w:rPr>
              <w:t>Art. 1º, inciso I, alínea “a”, Portaria GR nº 8.321/2024</w:t>
            </w:r>
          </w:p>
        </w:tc>
      </w:tr>
    </w:tbl>
    <w:p w14:paraId="49092609" w14:textId="77777777" w:rsidR="00FE013F" w:rsidRDefault="00FE013F">
      <w:pPr>
        <w:ind w:left="0" w:hanging="2"/>
        <w:rPr>
          <w:rFonts w:ascii="Arial" w:eastAsia="Arial" w:hAnsi="Arial" w:cs="Arial"/>
          <w:sz w:val="24"/>
          <w:szCs w:val="24"/>
        </w:rPr>
      </w:pPr>
    </w:p>
    <w:p w14:paraId="7F04F03F" w14:textId="77777777" w:rsidR="00FE013F" w:rsidRDefault="00FE013F">
      <w:pPr>
        <w:ind w:left="0" w:hanging="2"/>
        <w:rPr>
          <w:rFonts w:ascii="Arial" w:eastAsia="Arial" w:hAnsi="Arial" w:cs="Arial"/>
          <w:sz w:val="24"/>
          <w:szCs w:val="24"/>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1611"/>
        <w:gridCol w:w="1540"/>
      </w:tblGrid>
      <w:tr w:rsidR="00FE013F" w14:paraId="36950689" w14:textId="77777777">
        <w:tc>
          <w:tcPr>
            <w:tcW w:w="8720" w:type="dxa"/>
            <w:gridSpan w:val="3"/>
            <w:tcBorders>
              <w:top w:val="single" w:sz="4" w:space="0" w:color="000000"/>
              <w:left w:val="single" w:sz="4" w:space="0" w:color="000000"/>
              <w:bottom w:val="single" w:sz="4" w:space="0" w:color="000000"/>
              <w:right w:val="single" w:sz="4" w:space="0" w:color="000000"/>
            </w:tcBorders>
            <w:vAlign w:val="center"/>
          </w:tcPr>
          <w:p w14:paraId="7B819DF0"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lastRenderedPageBreak/>
              <w:t>2. Documentação e informações iniciais</w:t>
            </w:r>
          </w:p>
        </w:tc>
      </w:tr>
      <w:tr w:rsidR="00FE013F" w14:paraId="647328CC" w14:textId="77777777">
        <w:tc>
          <w:tcPr>
            <w:tcW w:w="5569" w:type="dxa"/>
            <w:vAlign w:val="center"/>
          </w:tcPr>
          <w:p w14:paraId="0E288379"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2.a – Abertura de processo administrativo, em forma eletrônica (SEI/SP)</w:t>
            </w:r>
            <w:r>
              <w:rPr>
                <w:rFonts w:ascii="Arial" w:eastAsia="Arial" w:hAnsi="Arial" w:cs="Arial"/>
                <w:sz w:val="24"/>
                <w:szCs w:val="24"/>
                <w:vertAlign w:val="superscript"/>
              </w:rPr>
              <w:footnoteReference w:id="1"/>
            </w:r>
          </w:p>
        </w:tc>
        <w:tc>
          <w:tcPr>
            <w:tcW w:w="3151" w:type="dxa"/>
            <w:gridSpan w:val="2"/>
            <w:vAlign w:val="center"/>
          </w:tcPr>
          <w:p w14:paraId="43487A4B" w14:textId="77777777" w:rsidR="00FE013F" w:rsidRDefault="00FE013F">
            <w:pPr>
              <w:spacing w:before="80" w:after="80"/>
              <w:ind w:left="0" w:hanging="2"/>
              <w:rPr>
                <w:rFonts w:ascii="Arial" w:eastAsia="Arial" w:hAnsi="Arial" w:cs="Arial"/>
                <w:sz w:val="24"/>
                <w:szCs w:val="24"/>
              </w:rPr>
            </w:pPr>
          </w:p>
          <w:p w14:paraId="4E887812"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Data __/__/____</w:t>
            </w:r>
          </w:p>
        </w:tc>
      </w:tr>
      <w:tr w:rsidR="00FE013F" w14:paraId="51A9ABA9" w14:textId="77777777">
        <w:tc>
          <w:tcPr>
            <w:tcW w:w="5569" w:type="dxa"/>
            <w:vAlign w:val="center"/>
          </w:tcPr>
          <w:p w14:paraId="30F10748"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2.b – Designação dos agentes públicos responsáveis pela contratação, execução e fiscalização</w:t>
            </w:r>
            <w:r>
              <w:rPr>
                <w:rFonts w:ascii="Arial" w:eastAsia="Arial" w:hAnsi="Arial" w:cs="Arial"/>
                <w:sz w:val="24"/>
                <w:szCs w:val="24"/>
                <w:vertAlign w:val="superscript"/>
              </w:rPr>
              <w:footnoteReference w:id="2"/>
            </w:r>
            <w:r>
              <w:rPr>
                <w:rFonts w:ascii="Arial" w:eastAsia="Arial" w:hAnsi="Arial" w:cs="Arial"/>
                <w:sz w:val="24"/>
                <w:szCs w:val="24"/>
              </w:rPr>
              <w:t xml:space="preserve"> (verificar regulamento USP)</w:t>
            </w:r>
          </w:p>
        </w:tc>
        <w:tc>
          <w:tcPr>
            <w:tcW w:w="3151" w:type="dxa"/>
            <w:gridSpan w:val="2"/>
            <w:vAlign w:val="center"/>
          </w:tcPr>
          <w:p w14:paraId="29B12196" w14:textId="77777777" w:rsidR="00FE013F" w:rsidRDefault="00FE013F">
            <w:pPr>
              <w:spacing w:before="80" w:after="80"/>
              <w:ind w:left="0" w:hanging="2"/>
              <w:rPr>
                <w:rFonts w:ascii="Arial" w:eastAsia="Arial" w:hAnsi="Arial" w:cs="Arial"/>
                <w:sz w:val="24"/>
                <w:szCs w:val="24"/>
              </w:rPr>
            </w:pPr>
          </w:p>
          <w:p w14:paraId="0B623576"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________</w:t>
            </w:r>
          </w:p>
        </w:tc>
      </w:tr>
      <w:tr w:rsidR="00FE013F" w14:paraId="25B8F2D4" w14:textId="77777777">
        <w:tc>
          <w:tcPr>
            <w:tcW w:w="5569" w:type="dxa"/>
            <w:vAlign w:val="center"/>
          </w:tcPr>
          <w:p w14:paraId="752B4A48"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t>2.c – Documento de formalização de demanda (DFD)</w:t>
            </w:r>
            <w:r>
              <w:rPr>
                <w:rFonts w:ascii="Arial" w:eastAsia="Arial" w:hAnsi="Arial" w:cs="Arial"/>
                <w:b/>
                <w:sz w:val="24"/>
                <w:szCs w:val="24"/>
                <w:vertAlign w:val="superscript"/>
              </w:rPr>
              <w:footnoteReference w:id="3"/>
            </w:r>
          </w:p>
        </w:tc>
        <w:tc>
          <w:tcPr>
            <w:tcW w:w="3151" w:type="dxa"/>
            <w:gridSpan w:val="2"/>
            <w:vAlign w:val="center"/>
          </w:tcPr>
          <w:p w14:paraId="18CDAED5"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________</w:t>
            </w:r>
          </w:p>
        </w:tc>
      </w:tr>
      <w:tr w:rsidR="00FE013F" w14:paraId="00D24697" w14:textId="77777777">
        <w:tc>
          <w:tcPr>
            <w:tcW w:w="5569" w:type="dxa"/>
            <w:vAlign w:val="center"/>
          </w:tcPr>
          <w:p w14:paraId="4348738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2.d – se for o caso, </w:t>
            </w:r>
            <w:r>
              <w:rPr>
                <w:rFonts w:ascii="Arial" w:eastAsia="Arial" w:hAnsi="Arial" w:cs="Arial"/>
                <w:b/>
                <w:sz w:val="24"/>
                <w:szCs w:val="24"/>
              </w:rPr>
              <w:t>Estudo Técnico Preliminar (ETP)</w:t>
            </w:r>
            <w:r>
              <w:rPr>
                <w:rFonts w:ascii="Arial" w:eastAsia="Arial" w:hAnsi="Arial" w:cs="Arial"/>
                <w:b/>
                <w:sz w:val="24"/>
                <w:szCs w:val="24"/>
                <w:vertAlign w:val="superscript"/>
              </w:rPr>
              <w:footnoteReference w:id="4"/>
            </w:r>
            <w:r>
              <w:rPr>
                <w:rFonts w:ascii="Arial" w:eastAsia="Arial" w:hAnsi="Arial" w:cs="Arial"/>
                <w:sz w:val="24"/>
                <w:szCs w:val="24"/>
              </w:rPr>
              <w:t>, contendo pelo menos:</w:t>
            </w:r>
          </w:p>
          <w:p w14:paraId="4D83D016"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(i) descrição da necessidade/problema a ser resolvido; </w:t>
            </w:r>
          </w:p>
          <w:p w14:paraId="54D2CCFC"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w:t>
            </w:r>
            <w:proofErr w:type="spellEnd"/>
            <w:r>
              <w:rPr>
                <w:rFonts w:ascii="Arial" w:eastAsia="Arial" w:hAnsi="Arial" w:cs="Arial"/>
                <w:sz w:val="24"/>
                <w:szCs w:val="24"/>
              </w:rPr>
              <w:t xml:space="preserve">) estimativa do quantitativo; </w:t>
            </w:r>
          </w:p>
          <w:p w14:paraId="360EB617"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iii</w:t>
            </w:r>
            <w:proofErr w:type="spellEnd"/>
            <w:r>
              <w:rPr>
                <w:rFonts w:ascii="Arial" w:eastAsia="Arial" w:hAnsi="Arial" w:cs="Arial"/>
                <w:sz w:val="24"/>
                <w:szCs w:val="24"/>
              </w:rPr>
              <w:t>) estimativa do val</w:t>
            </w:r>
            <w:r>
              <w:rPr>
                <w:rFonts w:ascii="Arial" w:eastAsia="Arial" w:hAnsi="Arial" w:cs="Arial"/>
                <w:sz w:val="24"/>
                <w:szCs w:val="24"/>
              </w:rPr>
              <w:t xml:space="preserve">or; </w:t>
            </w:r>
          </w:p>
          <w:p w14:paraId="6D6C6253"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iv</w:t>
            </w:r>
            <w:proofErr w:type="spellEnd"/>
            <w:r>
              <w:rPr>
                <w:rFonts w:ascii="Arial" w:eastAsia="Arial" w:hAnsi="Arial" w:cs="Arial"/>
                <w:sz w:val="24"/>
                <w:szCs w:val="24"/>
              </w:rPr>
              <w:t xml:space="preserve">) manifestação sobre parcelamento; </w:t>
            </w:r>
          </w:p>
          <w:p w14:paraId="7204FF6A"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(v) conclusão sobre a adequação da contratação para a necessidade a que se destina; e</w:t>
            </w:r>
          </w:p>
          <w:p w14:paraId="44C769B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(vi) caso aplicável, justificativa pela ausência dos demais itens não obrigatórios</w:t>
            </w:r>
            <w:r>
              <w:rPr>
                <w:rFonts w:ascii="Arial" w:eastAsia="Arial" w:hAnsi="Arial" w:cs="Arial"/>
                <w:sz w:val="24"/>
                <w:szCs w:val="24"/>
                <w:vertAlign w:val="superscript"/>
              </w:rPr>
              <w:footnoteReference w:id="5"/>
            </w:r>
          </w:p>
        </w:tc>
        <w:tc>
          <w:tcPr>
            <w:tcW w:w="1611" w:type="dxa"/>
            <w:vAlign w:val="center"/>
          </w:tcPr>
          <w:p w14:paraId="312E593C" w14:textId="77777777" w:rsidR="00FE013F" w:rsidRDefault="00FE013F">
            <w:pPr>
              <w:spacing w:before="80" w:after="80"/>
              <w:ind w:left="0" w:hanging="2"/>
              <w:rPr>
                <w:rFonts w:ascii="Arial" w:eastAsia="Arial" w:hAnsi="Arial" w:cs="Arial"/>
                <w:sz w:val="24"/>
                <w:szCs w:val="24"/>
              </w:rPr>
            </w:pPr>
          </w:p>
          <w:p w14:paraId="5A221389"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Sim/Não*</w:t>
            </w:r>
          </w:p>
          <w:p w14:paraId="68544635" w14:textId="77777777" w:rsidR="00FE013F" w:rsidRDefault="00FE013F">
            <w:pPr>
              <w:spacing w:before="80" w:after="80"/>
              <w:ind w:left="0" w:hanging="2"/>
              <w:rPr>
                <w:rFonts w:ascii="Arial" w:eastAsia="Arial" w:hAnsi="Arial" w:cs="Arial"/>
                <w:sz w:val="24"/>
                <w:szCs w:val="24"/>
              </w:rPr>
            </w:pPr>
          </w:p>
          <w:p w14:paraId="04165E7C" w14:textId="77777777" w:rsidR="00FE013F" w:rsidRDefault="00FE013F">
            <w:pPr>
              <w:spacing w:before="80" w:after="80"/>
              <w:ind w:left="0" w:hanging="2"/>
              <w:rPr>
                <w:rFonts w:ascii="Arial" w:eastAsia="Arial" w:hAnsi="Arial" w:cs="Arial"/>
                <w:sz w:val="24"/>
                <w:szCs w:val="24"/>
              </w:rPr>
            </w:pPr>
          </w:p>
          <w:p w14:paraId="69337EDB" w14:textId="77777777" w:rsidR="00FE013F" w:rsidRDefault="00FE013F">
            <w:pPr>
              <w:spacing w:before="80" w:after="80"/>
              <w:ind w:left="0" w:hanging="2"/>
              <w:rPr>
                <w:rFonts w:ascii="Arial" w:eastAsia="Arial" w:hAnsi="Arial" w:cs="Arial"/>
                <w:sz w:val="24"/>
                <w:szCs w:val="24"/>
              </w:rPr>
            </w:pPr>
          </w:p>
          <w:p w14:paraId="77968028" w14:textId="77777777" w:rsidR="00FE013F" w:rsidRDefault="00FE013F">
            <w:pPr>
              <w:spacing w:before="80" w:after="80"/>
              <w:ind w:left="0" w:hanging="2"/>
              <w:rPr>
                <w:rFonts w:ascii="Arial" w:eastAsia="Arial" w:hAnsi="Arial" w:cs="Arial"/>
                <w:sz w:val="24"/>
                <w:szCs w:val="24"/>
              </w:rPr>
            </w:pPr>
          </w:p>
          <w:p w14:paraId="63BF6E3F"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*Em caso de “não”, justificar</w:t>
            </w:r>
          </w:p>
        </w:tc>
        <w:tc>
          <w:tcPr>
            <w:tcW w:w="1540" w:type="dxa"/>
            <w:vAlign w:val="center"/>
          </w:tcPr>
          <w:p w14:paraId="41F5607F" w14:textId="77777777" w:rsidR="00FE013F" w:rsidRDefault="00FE013F">
            <w:pPr>
              <w:spacing w:before="80" w:after="80"/>
              <w:ind w:left="0" w:hanging="2"/>
              <w:rPr>
                <w:rFonts w:ascii="Arial" w:eastAsia="Arial" w:hAnsi="Arial" w:cs="Arial"/>
                <w:sz w:val="24"/>
                <w:szCs w:val="24"/>
              </w:rPr>
            </w:pPr>
          </w:p>
          <w:p w14:paraId="7D83BA68"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w:t>
            </w:r>
          </w:p>
          <w:p w14:paraId="4193128E" w14:textId="77777777" w:rsidR="00FE013F" w:rsidRDefault="00FE013F">
            <w:pPr>
              <w:spacing w:before="80" w:after="80"/>
              <w:ind w:left="0" w:hanging="2"/>
              <w:rPr>
                <w:rFonts w:ascii="Arial" w:eastAsia="Arial" w:hAnsi="Arial" w:cs="Arial"/>
                <w:sz w:val="24"/>
                <w:szCs w:val="24"/>
              </w:rPr>
            </w:pPr>
          </w:p>
          <w:p w14:paraId="423BA548" w14:textId="77777777" w:rsidR="00FE013F" w:rsidRDefault="00FE013F">
            <w:pPr>
              <w:spacing w:before="80" w:after="80"/>
              <w:ind w:left="0" w:hanging="2"/>
              <w:rPr>
                <w:rFonts w:ascii="Arial" w:eastAsia="Arial" w:hAnsi="Arial" w:cs="Arial"/>
                <w:sz w:val="24"/>
                <w:szCs w:val="24"/>
              </w:rPr>
            </w:pPr>
          </w:p>
          <w:p w14:paraId="054090E1" w14:textId="77777777" w:rsidR="00FE013F" w:rsidRDefault="00FE013F">
            <w:pPr>
              <w:spacing w:before="80" w:after="80"/>
              <w:ind w:left="0" w:hanging="2"/>
              <w:rPr>
                <w:rFonts w:ascii="Arial" w:eastAsia="Arial" w:hAnsi="Arial" w:cs="Arial"/>
                <w:sz w:val="24"/>
                <w:szCs w:val="24"/>
              </w:rPr>
            </w:pPr>
          </w:p>
          <w:p w14:paraId="1902B36D" w14:textId="77777777" w:rsidR="00FE013F" w:rsidRDefault="00FE013F">
            <w:pPr>
              <w:spacing w:before="80" w:after="80"/>
              <w:ind w:left="0" w:hanging="2"/>
              <w:rPr>
                <w:rFonts w:ascii="Arial" w:eastAsia="Arial" w:hAnsi="Arial" w:cs="Arial"/>
                <w:sz w:val="24"/>
                <w:szCs w:val="24"/>
              </w:rPr>
            </w:pPr>
          </w:p>
          <w:p w14:paraId="17AA0C1B" w14:textId="77777777" w:rsidR="00FE013F" w:rsidRDefault="00FE013F">
            <w:pPr>
              <w:spacing w:before="80" w:after="80"/>
              <w:ind w:left="0" w:hanging="2"/>
              <w:rPr>
                <w:rFonts w:ascii="Arial" w:eastAsia="Arial" w:hAnsi="Arial" w:cs="Arial"/>
                <w:sz w:val="24"/>
                <w:szCs w:val="24"/>
              </w:rPr>
            </w:pPr>
          </w:p>
          <w:p w14:paraId="719F216D"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FE013F" w14:paraId="6F547D31" w14:textId="77777777">
        <w:tc>
          <w:tcPr>
            <w:tcW w:w="5569" w:type="dxa"/>
            <w:vAlign w:val="center"/>
          </w:tcPr>
          <w:p w14:paraId="1DEAC93A"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2.e – se for o caso, </w:t>
            </w:r>
            <w:r>
              <w:rPr>
                <w:rFonts w:ascii="Arial" w:eastAsia="Arial" w:hAnsi="Arial" w:cs="Arial"/>
                <w:b/>
                <w:sz w:val="24"/>
                <w:szCs w:val="24"/>
              </w:rPr>
              <w:t>Análise de Riscos</w:t>
            </w:r>
          </w:p>
          <w:p w14:paraId="53367CA7" w14:textId="77777777" w:rsidR="00FE013F" w:rsidRDefault="00FE013F">
            <w:pPr>
              <w:spacing w:before="80" w:after="80"/>
              <w:ind w:left="0" w:hanging="2"/>
              <w:jc w:val="both"/>
              <w:rPr>
                <w:rFonts w:ascii="Arial" w:eastAsia="Arial" w:hAnsi="Arial" w:cs="Arial"/>
                <w:sz w:val="24"/>
                <w:szCs w:val="24"/>
              </w:rPr>
            </w:pPr>
          </w:p>
        </w:tc>
        <w:tc>
          <w:tcPr>
            <w:tcW w:w="1611" w:type="dxa"/>
            <w:vAlign w:val="center"/>
          </w:tcPr>
          <w:p w14:paraId="6C58FC0D"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Sim/Não</w:t>
            </w:r>
          </w:p>
        </w:tc>
        <w:tc>
          <w:tcPr>
            <w:tcW w:w="1540" w:type="dxa"/>
            <w:vAlign w:val="center"/>
          </w:tcPr>
          <w:p w14:paraId="2CCA7E1A"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FE013F" w14:paraId="1F5CAE16"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1753A129"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2.f – </w:t>
            </w:r>
            <w:r>
              <w:rPr>
                <w:rFonts w:ascii="Arial" w:eastAsia="Arial" w:hAnsi="Arial" w:cs="Arial"/>
                <w:b/>
                <w:sz w:val="24"/>
                <w:szCs w:val="24"/>
              </w:rPr>
              <w:t>Termo de Referência (TR),</w:t>
            </w:r>
            <w:r>
              <w:rPr>
                <w:rFonts w:ascii="Arial" w:eastAsia="Arial" w:hAnsi="Arial" w:cs="Arial"/>
                <w:sz w:val="24"/>
                <w:szCs w:val="24"/>
              </w:rPr>
              <w:t xml:space="preserve"> Projeto Básico ou Projeto Executivo</w:t>
            </w:r>
            <w:r>
              <w:rPr>
                <w:rFonts w:ascii="Arial" w:eastAsia="Arial" w:hAnsi="Arial" w:cs="Arial"/>
                <w:sz w:val="24"/>
                <w:szCs w:val="24"/>
                <w:vertAlign w:val="superscript"/>
              </w:rPr>
              <w:footnoteReference w:id="6"/>
            </w:r>
          </w:p>
          <w:p w14:paraId="7E5A6C25"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2.f.a. Utilizou-se o modelo padronizado de TR</w:t>
            </w:r>
            <w:r>
              <w:rPr>
                <w:rFonts w:ascii="Arial" w:eastAsia="Arial" w:hAnsi="Arial" w:cs="Arial"/>
                <w:sz w:val="24"/>
                <w:szCs w:val="24"/>
                <w:vertAlign w:val="superscript"/>
              </w:rPr>
              <w:footnoteReference w:id="7"/>
            </w:r>
          </w:p>
        </w:tc>
        <w:tc>
          <w:tcPr>
            <w:tcW w:w="3151" w:type="dxa"/>
            <w:gridSpan w:val="2"/>
            <w:tcBorders>
              <w:top w:val="single" w:sz="4" w:space="0" w:color="000000"/>
              <w:left w:val="single" w:sz="4" w:space="0" w:color="000000"/>
              <w:bottom w:val="single" w:sz="4" w:space="0" w:color="000000"/>
              <w:right w:val="single" w:sz="4" w:space="0" w:color="000000"/>
            </w:tcBorders>
            <w:vAlign w:val="center"/>
          </w:tcPr>
          <w:p w14:paraId="6DF3C7DE"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_______</w:t>
            </w:r>
          </w:p>
          <w:p w14:paraId="3C477660" w14:textId="77777777" w:rsidR="00FE013F" w:rsidRDefault="00FE013F">
            <w:pPr>
              <w:spacing w:before="80" w:after="80"/>
              <w:ind w:left="0" w:hanging="2"/>
              <w:rPr>
                <w:rFonts w:ascii="Arial" w:eastAsia="Arial" w:hAnsi="Arial" w:cs="Arial"/>
                <w:sz w:val="24"/>
                <w:szCs w:val="24"/>
              </w:rPr>
            </w:pPr>
          </w:p>
          <w:p w14:paraId="1C951BEA"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Sim/Não</w:t>
            </w:r>
          </w:p>
        </w:tc>
      </w:tr>
      <w:tr w:rsidR="00FE013F" w14:paraId="02765698"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418F3FCF"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2.g – Documento da Reserva ou demonstração da compatibilidade da previsão de recursos orçamentários com a despesa</w:t>
            </w:r>
            <w:r>
              <w:rPr>
                <w:rFonts w:ascii="Arial" w:eastAsia="Arial" w:hAnsi="Arial" w:cs="Arial"/>
                <w:sz w:val="24"/>
                <w:szCs w:val="24"/>
                <w:vertAlign w:val="superscript"/>
              </w:rPr>
              <w:footnoteReference w:id="8"/>
            </w:r>
          </w:p>
          <w:p w14:paraId="2F8FBC6C" w14:textId="77777777" w:rsidR="00FE013F" w:rsidRDefault="00A15FBE">
            <w:pPr>
              <w:spacing w:before="80" w:after="80"/>
              <w:ind w:left="0" w:hanging="2"/>
              <w:jc w:val="both"/>
              <w:rPr>
                <w:rFonts w:ascii="Arial" w:eastAsia="Arial" w:hAnsi="Arial" w:cs="Arial"/>
                <w:sz w:val="24"/>
                <w:szCs w:val="24"/>
              </w:rPr>
            </w:pPr>
            <w:proofErr w:type="spellStart"/>
            <w:r>
              <w:rPr>
                <w:rFonts w:ascii="Arial" w:eastAsia="Arial" w:hAnsi="Arial" w:cs="Arial"/>
                <w:sz w:val="24"/>
                <w:szCs w:val="24"/>
              </w:rPr>
              <w:t>Obs</w:t>
            </w:r>
            <w:proofErr w:type="spellEnd"/>
            <w:r>
              <w:rPr>
                <w:rFonts w:ascii="Arial" w:eastAsia="Arial" w:hAnsi="Arial" w:cs="Arial"/>
                <w:sz w:val="24"/>
                <w:szCs w:val="24"/>
              </w:rPr>
              <w:t>: Em caso de utilização de registro de preços do sistema de compras do Gov. Federal, o documento da reserva somente será exigido para formalização do contrato ou outro instrumento hábil.</w:t>
            </w:r>
            <w:r>
              <w:rPr>
                <w:rFonts w:ascii="Arial" w:eastAsia="Arial" w:hAnsi="Arial" w:cs="Arial"/>
                <w:sz w:val="24"/>
                <w:szCs w:val="24"/>
                <w:vertAlign w:val="superscript"/>
              </w:rPr>
              <w:footnoteReference w:id="9"/>
            </w:r>
          </w:p>
        </w:tc>
        <w:tc>
          <w:tcPr>
            <w:tcW w:w="1611" w:type="dxa"/>
            <w:tcBorders>
              <w:top w:val="single" w:sz="4" w:space="0" w:color="000000"/>
              <w:left w:val="single" w:sz="4" w:space="0" w:color="000000"/>
              <w:bottom w:val="single" w:sz="4" w:space="0" w:color="000000"/>
              <w:right w:val="single" w:sz="4" w:space="0" w:color="000000"/>
            </w:tcBorders>
            <w:vAlign w:val="center"/>
          </w:tcPr>
          <w:p w14:paraId="383C3501"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Sim/Não</w:t>
            </w:r>
          </w:p>
        </w:tc>
        <w:tc>
          <w:tcPr>
            <w:tcW w:w="1540" w:type="dxa"/>
            <w:tcBorders>
              <w:top w:val="single" w:sz="4" w:space="0" w:color="000000"/>
              <w:left w:val="single" w:sz="4" w:space="0" w:color="000000"/>
              <w:bottom w:val="single" w:sz="4" w:space="0" w:color="000000"/>
              <w:right w:val="single" w:sz="4" w:space="0" w:color="000000"/>
            </w:tcBorders>
            <w:vAlign w:val="center"/>
          </w:tcPr>
          <w:p w14:paraId="78CA42EC"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Fls. ______</w:t>
            </w:r>
          </w:p>
        </w:tc>
      </w:tr>
    </w:tbl>
    <w:p w14:paraId="10E4A644" w14:textId="77777777" w:rsidR="00FE013F" w:rsidRDefault="00FE013F">
      <w:pPr>
        <w:ind w:left="0" w:hanging="2"/>
        <w:rPr>
          <w:rFonts w:ascii="Arial" w:eastAsia="Arial" w:hAnsi="Arial" w:cs="Arial"/>
          <w:sz w:val="24"/>
          <w:szCs w:val="24"/>
        </w:rPr>
      </w:pPr>
    </w:p>
    <w:p w14:paraId="2ECB3627" w14:textId="77777777" w:rsidR="00FE013F" w:rsidRDefault="00FE013F">
      <w:pPr>
        <w:ind w:left="0" w:hanging="2"/>
        <w:rPr>
          <w:rFonts w:ascii="Arial" w:eastAsia="Arial" w:hAnsi="Arial" w:cs="Arial"/>
          <w:sz w:val="24"/>
          <w:szCs w:val="24"/>
        </w:rPr>
      </w:pPr>
    </w:p>
    <w:tbl>
      <w:tblPr>
        <w:tblStyle w:val="a1"/>
        <w:tblW w:w="87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6607"/>
        <w:gridCol w:w="1559"/>
      </w:tblGrid>
      <w:tr w:rsidR="00FE013F" w14:paraId="7080BDAD" w14:textId="77777777">
        <w:tc>
          <w:tcPr>
            <w:tcW w:w="7196" w:type="dxa"/>
            <w:gridSpan w:val="2"/>
            <w:vAlign w:val="center"/>
          </w:tcPr>
          <w:p w14:paraId="44E95088"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t>3. Caracterização da hipótese legal*</w:t>
            </w:r>
          </w:p>
        </w:tc>
        <w:tc>
          <w:tcPr>
            <w:tcW w:w="1559" w:type="dxa"/>
            <w:vAlign w:val="center"/>
          </w:tcPr>
          <w:p w14:paraId="45C34D7E" w14:textId="77777777" w:rsidR="00FE013F" w:rsidRDefault="00A15FBE">
            <w:pPr>
              <w:ind w:left="0" w:hanging="2"/>
              <w:rPr>
                <w:rFonts w:ascii="Arial" w:eastAsia="Arial" w:hAnsi="Arial" w:cs="Arial"/>
                <w:sz w:val="24"/>
                <w:szCs w:val="24"/>
              </w:rPr>
            </w:pPr>
            <w:r>
              <w:rPr>
                <w:rFonts w:ascii="Arial" w:eastAsia="Arial" w:hAnsi="Arial" w:cs="Arial"/>
                <w:b/>
                <w:sz w:val="24"/>
                <w:szCs w:val="24"/>
              </w:rPr>
              <w:t>Fls.</w:t>
            </w:r>
            <w:r>
              <w:rPr>
                <w:rFonts w:ascii="Arial" w:eastAsia="Arial" w:hAnsi="Arial" w:cs="Arial"/>
                <w:b/>
                <w:sz w:val="24"/>
                <w:szCs w:val="24"/>
              </w:rPr>
              <w:t xml:space="preserve"> ______</w:t>
            </w:r>
          </w:p>
        </w:tc>
      </w:tr>
      <w:tr w:rsidR="00FE013F" w14:paraId="6C7F2369" w14:textId="77777777">
        <w:trPr>
          <w:cantSplit/>
        </w:trPr>
        <w:tc>
          <w:tcPr>
            <w:tcW w:w="588" w:type="dxa"/>
            <w:vMerge w:val="restart"/>
            <w:vAlign w:val="center"/>
          </w:tcPr>
          <w:p w14:paraId="15F98D10" w14:textId="77777777" w:rsidR="00FE013F" w:rsidRDefault="00A15FBE">
            <w:pPr>
              <w:spacing w:before="80" w:after="80"/>
              <w:ind w:left="0" w:right="113" w:hanging="2"/>
              <w:jc w:val="center"/>
              <w:rPr>
                <w:rFonts w:ascii="Arial" w:eastAsia="Arial" w:hAnsi="Arial" w:cs="Arial"/>
                <w:sz w:val="24"/>
                <w:szCs w:val="24"/>
              </w:rPr>
            </w:pPr>
            <w:r>
              <w:rPr>
                <w:rFonts w:ascii="Arial" w:eastAsia="Arial" w:hAnsi="Arial" w:cs="Arial"/>
                <w:sz w:val="24"/>
                <w:szCs w:val="24"/>
              </w:rPr>
              <w:t>JUSTIFICATIVAS</w:t>
            </w:r>
          </w:p>
        </w:tc>
        <w:tc>
          <w:tcPr>
            <w:tcW w:w="6608" w:type="dxa"/>
            <w:vAlign w:val="center"/>
          </w:tcPr>
          <w:p w14:paraId="21A551FE"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3.a – Interesse público: </w:t>
            </w:r>
            <w:r>
              <w:rPr>
                <w:rFonts w:ascii="Arial" w:eastAsia="Arial" w:hAnsi="Arial" w:cs="Arial"/>
                <w:sz w:val="22"/>
                <w:szCs w:val="22"/>
                <w:u w:val="single"/>
              </w:rPr>
              <w:t>peculiaridades da atividade</w:t>
            </w:r>
            <w:r>
              <w:rPr>
                <w:rFonts w:ascii="Arial" w:eastAsia="Arial" w:hAnsi="Arial" w:cs="Arial"/>
                <w:sz w:val="22"/>
                <w:szCs w:val="22"/>
              </w:rPr>
              <w:t xml:space="preserve"> que justifiquem a aquisição do serviço artístico com características específicas;</w:t>
            </w:r>
          </w:p>
        </w:tc>
        <w:tc>
          <w:tcPr>
            <w:tcW w:w="1559" w:type="dxa"/>
            <w:vAlign w:val="center"/>
          </w:tcPr>
          <w:p w14:paraId="5E473312" w14:textId="77777777" w:rsidR="00FE013F" w:rsidRDefault="00A15FBE">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FE013F" w14:paraId="13F330DB" w14:textId="77777777">
        <w:trPr>
          <w:cantSplit/>
        </w:trPr>
        <w:tc>
          <w:tcPr>
            <w:tcW w:w="588" w:type="dxa"/>
            <w:vMerge/>
            <w:vAlign w:val="center"/>
          </w:tcPr>
          <w:p w14:paraId="647E663C" w14:textId="77777777" w:rsidR="00FE013F" w:rsidRDefault="00FE013F">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6024E5A2"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3.b – </w:t>
            </w:r>
            <w:r>
              <w:rPr>
                <w:rFonts w:ascii="Arial" w:eastAsia="Arial" w:hAnsi="Arial" w:cs="Arial"/>
                <w:b/>
                <w:sz w:val="24"/>
                <w:szCs w:val="24"/>
              </w:rPr>
              <w:t>Razões da escolha do serviço</w:t>
            </w:r>
            <w:r>
              <w:rPr>
                <w:rFonts w:ascii="Arial" w:eastAsia="Arial" w:hAnsi="Arial" w:cs="Arial"/>
                <w:sz w:val="24"/>
                <w:szCs w:val="24"/>
              </w:rPr>
              <w:t xml:space="preserve">: </w:t>
            </w:r>
            <w:r>
              <w:rPr>
                <w:rFonts w:ascii="Arial" w:eastAsia="Arial" w:hAnsi="Arial" w:cs="Arial"/>
                <w:sz w:val="22"/>
                <w:szCs w:val="22"/>
              </w:rPr>
              <w:t xml:space="preserve">o objeto da contratação possui as </w:t>
            </w:r>
            <w:r>
              <w:rPr>
                <w:rFonts w:ascii="Arial" w:eastAsia="Arial" w:hAnsi="Arial" w:cs="Arial"/>
                <w:sz w:val="22"/>
                <w:szCs w:val="22"/>
                <w:u w:val="single"/>
              </w:rPr>
              <w:t>características específicas e artísticas necessárias para atender o interesse público</w:t>
            </w:r>
            <w:r>
              <w:rPr>
                <w:rFonts w:ascii="Arial" w:eastAsia="Arial" w:hAnsi="Arial" w:cs="Arial"/>
                <w:sz w:val="22"/>
                <w:szCs w:val="22"/>
              </w:rPr>
              <w:t>, as quais não são encontradas em serviços similares, demonstrando todos os elementos fáticos que fundamentam a inviabilidade de competiç</w:t>
            </w:r>
            <w:r>
              <w:rPr>
                <w:rFonts w:ascii="Arial" w:eastAsia="Arial" w:hAnsi="Arial" w:cs="Arial"/>
                <w:sz w:val="22"/>
                <w:szCs w:val="22"/>
              </w:rPr>
              <w:t>ão;</w:t>
            </w:r>
          </w:p>
        </w:tc>
        <w:tc>
          <w:tcPr>
            <w:tcW w:w="1559" w:type="dxa"/>
            <w:vAlign w:val="center"/>
          </w:tcPr>
          <w:p w14:paraId="028A6FE4" w14:textId="77777777" w:rsidR="00FE013F" w:rsidRDefault="00A15FBE">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FE013F" w14:paraId="7A27A156" w14:textId="77777777">
        <w:trPr>
          <w:cantSplit/>
        </w:trPr>
        <w:tc>
          <w:tcPr>
            <w:tcW w:w="588" w:type="dxa"/>
            <w:vMerge/>
            <w:vAlign w:val="center"/>
          </w:tcPr>
          <w:p w14:paraId="73A60FC9" w14:textId="77777777" w:rsidR="00FE013F" w:rsidRDefault="00FE013F">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44B874C6"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3.c – Prestação de serviços por profissional do setor artístico: </w:t>
            </w:r>
            <w:r>
              <w:rPr>
                <w:rFonts w:ascii="Arial" w:eastAsia="Arial" w:hAnsi="Arial" w:cs="Arial"/>
                <w:sz w:val="22"/>
                <w:szCs w:val="22"/>
              </w:rPr>
              <w:t xml:space="preserve">demonstrar que se trata de </w:t>
            </w:r>
            <w:r>
              <w:rPr>
                <w:rFonts w:ascii="Arial" w:eastAsia="Arial" w:hAnsi="Arial" w:cs="Arial"/>
                <w:b/>
                <w:sz w:val="22"/>
                <w:szCs w:val="22"/>
              </w:rPr>
              <w:t xml:space="preserve">artista </w:t>
            </w:r>
            <w:r>
              <w:rPr>
                <w:rFonts w:ascii="Arial" w:eastAsia="Arial" w:hAnsi="Arial" w:cs="Arial"/>
                <w:b/>
                <w:sz w:val="22"/>
                <w:szCs w:val="22"/>
                <w:u w:val="single"/>
              </w:rPr>
              <w:t>profissional</w:t>
            </w:r>
            <w:r>
              <w:rPr>
                <w:rFonts w:ascii="Arial" w:eastAsia="Arial" w:hAnsi="Arial" w:cs="Arial"/>
                <w:sz w:val="22"/>
                <w:szCs w:val="22"/>
                <w:vertAlign w:val="superscript"/>
              </w:rPr>
              <w:footnoteReference w:id="10"/>
            </w:r>
            <w:r>
              <w:rPr>
                <w:rFonts w:ascii="Arial" w:eastAsia="Arial" w:hAnsi="Arial" w:cs="Arial"/>
                <w:sz w:val="22"/>
                <w:szCs w:val="22"/>
              </w:rPr>
              <w:t xml:space="preserve">; </w:t>
            </w:r>
          </w:p>
        </w:tc>
        <w:tc>
          <w:tcPr>
            <w:tcW w:w="1559" w:type="dxa"/>
            <w:vAlign w:val="center"/>
          </w:tcPr>
          <w:p w14:paraId="7364B95A" w14:textId="77777777" w:rsidR="00FE013F" w:rsidRDefault="00A15FBE">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FE013F" w14:paraId="4F153338" w14:textId="77777777">
        <w:trPr>
          <w:cantSplit/>
        </w:trPr>
        <w:tc>
          <w:tcPr>
            <w:tcW w:w="588" w:type="dxa"/>
            <w:vMerge/>
            <w:vAlign w:val="center"/>
          </w:tcPr>
          <w:p w14:paraId="5D6552F5" w14:textId="77777777" w:rsidR="00FE013F" w:rsidRDefault="00FE013F">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132C5E71"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3.d – Contratação direta com o artista OU por meio de empresário/empresa </w:t>
            </w:r>
            <w:r>
              <w:rPr>
                <w:rFonts w:ascii="Arial" w:eastAsia="Arial" w:hAnsi="Arial" w:cs="Arial"/>
                <w:b/>
                <w:sz w:val="24"/>
                <w:szCs w:val="24"/>
              </w:rPr>
              <w:t>exclusiva</w:t>
            </w:r>
            <w:r>
              <w:rPr>
                <w:rFonts w:ascii="Arial" w:eastAsia="Arial" w:hAnsi="Arial" w:cs="Arial"/>
                <w:sz w:val="24"/>
                <w:szCs w:val="24"/>
              </w:rPr>
              <w:t xml:space="preserve">: </w:t>
            </w:r>
            <w:r>
              <w:rPr>
                <w:rFonts w:ascii="Arial" w:eastAsia="Arial" w:hAnsi="Arial" w:cs="Arial"/>
                <w:sz w:val="22"/>
                <w:szCs w:val="22"/>
              </w:rPr>
              <w:t xml:space="preserve">comprovação da exclusividade de representação </w:t>
            </w:r>
            <w:r>
              <w:rPr>
                <w:rFonts w:ascii="Arial" w:eastAsia="Arial" w:hAnsi="Arial" w:cs="Arial"/>
                <w:sz w:val="22"/>
                <w:szCs w:val="22"/>
                <w:u w:val="single"/>
              </w:rPr>
              <w:t>permanente e exclusiva</w:t>
            </w:r>
            <w:r>
              <w:rPr>
                <w:rFonts w:ascii="Arial" w:eastAsia="Arial" w:hAnsi="Arial" w:cs="Arial"/>
                <w:sz w:val="22"/>
                <w:szCs w:val="22"/>
              </w:rPr>
              <w:t xml:space="preserve">; </w:t>
            </w:r>
            <w:r>
              <w:rPr>
                <w:rFonts w:ascii="Arial" w:eastAsia="Arial" w:hAnsi="Arial" w:cs="Arial"/>
                <w:b/>
                <w:sz w:val="22"/>
                <w:szCs w:val="22"/>
                <w:u w:val="single"/>
              </w:rPr>
              <w:t>não</w:t>
            </w:r>
            <w:r>
              <w:rPr>
                <w:rFonts w:ascii="Arial" w:eastAsia="Arial" w:hAnsi="Arial" w:cs="Arial"/>
                <w:b/>
                <w:sz w:val="22"/>
                <w:szCs w:val="22"/>
              </w:rPr>
              <w:t xml:space="preserve"> se admite a “exclusividade” restrita a determinado período, evento ou contratante</w:t>
            </w:r>
            <w:r>
              <w:rPr>
                <w:rFonts w:ascii="Arial" w:eastAsia="Arial" w:hAnsi="Arial" w:cs="Arial"/>
                <w:b/>
                <w:sz w:val="22"/>
                <w:szCs w:val="22"/>
                <w:vertAlign w:val="superscript"/>
              </w:rPr>
              <w:footnoteReference w:id="11"/>
            </w:r>
            <w:r>
              <w:rPr>
                <w:rFonts w:ascii="Arial" w:eastAsia="Arial" w:hAnsi="Arial" w:cs="Arial"/>
                <w:b/>
                <w:sz w:val="22"/>
                <w:szCs w:val="22"/>
              </w:rPr>
              <w:t>.</w:t>
            </w:r>
            <w:r>
              <w:rPr>
                <w:rFonts w:ascii="Arial" w:eastAsia="Arial" w:hAnsi="Arial" w:cs="Arial"/>
                <w:sz w:val="22"/>
                <w:szCs w:val="22"/>
              </w:rPr>
              <w:t xml:space="preserve"> </w:t>
            </w:r>
          </w:p>
        </w:tc>
        <w:tc>
          <w:tcPr>
            <w:tcW w:w="1559" w:type="dxa"/>
            <w:vAlign w:val="center"/>
          </w:tcPr>
          <w:p w14:paraId="282FDBEF" w14:textId="77777777" w:rsidR="00FE013F" w:rsidRDefault="00A15FBE">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FE013F" w14:paraId="7B164E9F" w14:textId="77777777">
        <w:trPr>
          <w:cantSplit/>
        </w:trPr>
        <w:tc>
          <w:tcPr>
            <w:tcW w:w="588" w:type="dxa"/>
            <w:vMerge/>
            <w:vAlign w:val="center"/>
          </w:tcPr>
          <w:p w14:paraId="7B5ACB8C" w14:textId="77777777" w:rsidR="00FE013F" w:rsidRDefault="00FE013F">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653FC2C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3.e – Comprovação da </w:t>
            </w:r>
            <w:r>
              <w:rPr>
                <w:rFonts w:ascii="Arial" w:eastAsia="Arial" w:hAnsi="Arial" w:cs="Arial"/>
                <w:b/>
                <w:sz w:val="24"/>
                <w:szCs w:val="24"/>
              </w:rPr>
              <w:t>consagração</w:t>
            </w:r>
            <w:r>
              <w:rPr>
                <w:rFonts w:ascii="Arial" w:eastAsia="Arial" w:hAnsi="Arial" w:cs="Arial"/>
                <w:sz w:val="24"/>
                <w:szCs w:val="24"/>
              </w:rPr>
              <w:t xml:space="preserve"> do artista profissional pela crítica especializada ou pela opinião pública.</w:t>
            </w:r>
          </w:p>
        </w:tc>
        <w:tc>
          <w:tcPr>
            <w:tcW w:w="1559" w:type="dxa"/>
            <w:vAlign w:val="center"/>
          </w:tcPr>
          <w:p w14:paraId="5A1F3A8E" w14:textId="77777777" w:rsidR="00FE013F" w:rsidRDefault="00A15FBE">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FE013F" w14:paraId="3B658CD8" w14:textId="77777777">
        <w:tc>
          <w:tcPr>
            <w:tcW w:w="8755" w:type="dxa"/>
            <w:gridSpan w:val="3"/>
            <w:vAlign w:val="center"/>
          </w:tcPr>
          <w:p w14:paraId="21D31F54"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b/>
                <w:sz w:val="24"/>
                <w:szCs w:val="24"/>
              </w:rPr>
              <w:t xml:space="preserve">*OBS: </w:t>
            </w:r>
            <w:r>
              <w:rPr>
                <w:rFonts w:ascii="Arial" w:eastAsia="Arial" w:hAnsi="Arial" w:cs="Arial"/>
                <w:b/>
                <w:sz w:val="24"/>
                <w:szCs w:val="24"/>
                <w:u w:val="single"/>
              </w:rPr>
              <w:t>todos</w:t>
            </w:r>
            <w:r>
              <w:rPr>
                <w:rFonts w:ascii="Arial" w:eastAsia="Arial" w:hAnsi="Arial" w:cs="Arial"/>
                <w:b/>
                <w:sz w:val="24"/>
                <w:szCs w:val="24"/>
              </w:rPr>
              <w:t xml:space="preserve"> os itens acima devem ser atendidos no caso concreto, como requisito legal para prosseguimento da contratação. </w:t>
            </w:r>
          </w:p>
        </w:tc>
      </w:tr>
    </w:tbl>
    <w:p w14:paraId="41D8FE34" w14:textId="77777777" w:rsidR="00FE013F" w:rsidRDefault="00FE013F">
      <w:pPr>
        <w:ind w:left="0" w:hanging="2"/>
        <w:rPr>
          <w:rFonts w:ascii="Arial" w:eastAsia="Arial" w:hAnsi="Arial" w:cs="Arial"/>
          <w:sz w:val="24"/>
          <w:szCs w:val="24"/>
        </w:rPr>
      </w:pPr>
    </w:p>
    <w:p w14:paraId="3C9CF286" w14:textId="77777777" w:rsidR="00FE013F" w:rsidRDefault="00FE013F">
      <w:pPr>
        <w:ind w:left="0" w:hanging="2"/>
        <w:rPr>
          <w:rFonts w:ascii="Arial" w:eastAsia="Arial" w:hAnsi="Arial" w:cs="Arial"/>
          <w:sz w:val="24"/>
          <w:szCs w:val="24"/>
        </w:rPr>
      </w:pPr>
    </w:p>
    <w:tbl>
      <w:tblPr>
        <w:tblStyle w:val="a2"/>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1"/>
      </w:tblGrid>
      <w:tr w:rsidR="00FE013F" w14:paraId="5B74ED53" w14:textId="77777777">
        <w:trPr>
          <w:trHeight w:val="340"/>
        </w:trPr>
        <w:tc>
          <w:tcPr>
            <w:tcW w:w="8721" w:type="dxa"/>
            <w:vAlign w:val="center"/>
          </w:tcPr>
          <w:p w14:paraId="6C10CC27"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t>4. Valor estimado e Justificativa de Preços - Fls. _________</w:t>
            </w:r>
          </w:p>
        </w:tc>
      </w:tr>
      <w:tr w:rsidR="00FE013F" w14:paraId="10BF44C7" w14:textId="77777777">
        <w:trPr>
          <w:trHeight w:val="557"/>
        </w:trPr>
        <w:tc>
          <w:tcPr>
            <w:tcW w:w="8721" w:type="dxa"/>
            <w:vAlign w:val="center"/>
          </w:tcPr>
          <w:p w14:paraId="2FC17E6B"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Mesmo nos casos de inviabilidade de competição, em atenção ao </w:t>
            </w:r>
            <w:r>
              <w:rPr>
                <w:rFonts w:ascii="Arial" w:eastAsia="Arial" w:hAnsi="Arial" w:cs="Arial"/>
                <w:b/>
                <w:sz w:val="22"/>
                <w:szCs w:val="22"/>
              </w:rPr>
              <w:t>artigo 72, VII, d</w:t>
            </w:r>
            <w:r>
              <w:rPr>
                <w:rFonts w:ascii="Arial" w:eastAsia="Arial" w:hAnsi="Arial" w:cs="Arial"/>
                <w:b/>
                <w:sz w:val="22"/>
                <w:szCs w:val="22"/>
              </w:rPr>
              <w:t>a Lei nº 14.133/2021</w:t>
            </w:r>
            <w:r>
              <w:rPr>
                <w:rFonts w:ascii="Arial" w:eastAsia="Arial" w:hAnsi="Arial" w:cs="Arial"/>
                <w:sz w:val="22"/>
                <w:szCs w:val="22"/>
              </w:rPr>
              <w:t xml:space="preserve">, </w:t>
            </w:r>
            <w:r>
              <w:rPr>
                <w:rFonts w:ascii="Arial" w:eastAsia="Arial" w:hAnsi="Arial" w:cs="Arial"/>
                <w:sz w:val="22"/>
                <w:szCs w:val="22"/>
                <w:u w:val="single"/>
              </w:rPr>
              <w:t>é necessária uma análise econômica do valor da contratação, de modo a demonstrar que o preço é razoável, compatível com o mercado</w:t>
            </w:r>
            <w:r>
              <w:rPr>
                <w:rFonts w:ascii="Arial" w:eastAsia="Arial" w:hAnsi="Arial" w:cs="Arial"/>
                <w:sz w:val="22"/>
                <w:szCs w:val="22"/>
              </w:rPr>
              <w:t xml:space="preserve">, seguindo os parâmetros estabelecidos no </w:t>
            </w:r>
            <w:r>
              <w:rPr>
                <w:rFonts w:ascii="Arial" w:eastAsia="Arial" w:hAnsi="Arial" w:cs="Arial"/>
                <w:b/>
                <w:sz w:val="22"/>
                <w:szCs w:val="22"/>
              </w:rPr>
              <w:t>art. 23, parágrafos 1º ao 4º, da mesma lei</w:t>
            </w:r>
            <w:r>
              <w:rPr>
                <w:rFonts w:ascii="Arial" w:eastAsia="Arial" w:hAnsi="Arial" w:cs="Arial"/>
                <w:sz w:val="22"/>
                <w:szCs w:val="22"/>
              </w:rPr>
              <w:t>.</w:t>
            </w:r>
          </w:p>
          <w:p w14:paraId="2D1B8C9D"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b/>
                <w:sz w:val="22"/>
                <w:szCs w:val="22"/>
              </w:rPr>
              <w:t>Decreto Estadual n</w:t>
            </w:r>
            <w:r>
              <w:rPr>
                <w:rFonts w:ascii="Arial" w:eastAsia="Arial" w:hAnsi="Arial" w:cs="Arial"/>
                <w:b/>
                <w:sz w:val="22"/>
                <w:szCs w:val="22"/>
                <w:vertAlign w:val="superscript"/>
              </w:rPr>
              <w:t>o</w:t>
            </w:r>
            <w:r>
              <w:rPr>
                <w:rFonts w:ascii="Arial" w:eastAsia="Arial" w:hAnsi="Arial" w:cs="Arial"/>
                <w:b/>
                <w:sz w:val="22"/>
                <w:szCs w:val="22"/>
              </w:rPr>
              <w:t xml:space="preserve"> 67.888/2023:</w:t>
            </w:r>
          </w:p>
          <w:p w14:paraId="14EE304A"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O valor estimado da contratação deverá ser </w:t>
            </w:r>
            <w:r>
              <w:rPr>
                <w:rFonts w:ascii="Arial" w:eastAsia="Arial" w:hAnsi="Arial" w:cs="Arial"/>
                <w:sz w:val="22"/>
                <w:szCs w:val="22"/>
                <w:u w:val="single"/>
              </w:rPr>
              <w:t>compatível com os valores praticados pelo mercado</w:t>
            </w:r>
            <w:r>
              <w:rPr>
                <w:rFonts w:ascii="Arial" w:eastAsia="Arial" w:hAnsi="Arial" w:cs="Arial"/>
                <w:sz w:val="22"/>
                <w:szCs w:val="22"/>
              </w:rPr>
              <w:t>, observadas as condições comerciais praticadas, incluindo prazos e locais de entrega, condições de execução, quantidade, fretes, formas e prazos de p</w:t>
            </w:r>
            <w:r>
              <w:rPr>
                <w:rFonts w:ascii="Arial" w:eastAsia="Arial" w:hAnsi="Arial" w:cs="Arial"/>
                <w:sz w:val="22"/>
                <w:szCs w:val="22"/>
              </w:rPr>
              <w:t xml:space="preserve">agamento, </w:t>
            </w:r>
            <w:r>
              <w:rPr>
                <w:rFonts w:ascii="Arial" w:eastAsia="Arial" w:hAnsi="Arial" w:cs="Arial"/>
                <w:sz w:val="22"/>
                <w:szCs w:val="22"/>
              </w:rPr>
              <w:lastRenderedPageBreak/>
              <w:t xml:space="preserve">garantias etc., levando-se em conta a potencial economia de escala e as peculiaridades do local de execução do objeto. </w:t>
            </w:r>
          </w:p>
        </w:tc>
      </w:tr>
      <w:tr w:rsidR="00FE013F" w14:paraId="7999B9CA" w14:textId="77777777">
        <w:trPr>
          <w:trHeight w:val="6511"/>
        </w:trPr>
        <w:tc>
          <w:tcPr>
            <w:tcW w:w="8721" w:type="dxa"/>
            <w:vAlign w:val="center"/>
          </w:tcPr>
          <w:p w14:paraId="14BE3B1F"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lastRenderedPageBreak/>
              <w:t>4.1.   Parâmetros utilizados para aferição do melhor preço estimado (artigo 3º, do Decreto Estadual n</w:t>
            </w:r>
            <w:r>
              <w:rPr>
                <w:rFonts w:ascii="Arial" w:eastAsia="Arial" w:hAnsi="Arial" w:cs="Arial"/>
                <w:b/>
                <w:sz w:val="24"/>
                <w:szCs w:val="24"/>
                <w:vertAlign w:val="superscript"/>
              </w:rPr>
              <w:t>o</w:t>
            </w:r>
            <w:r>
              <w:rPr>
                <w:rFonts w:ascii="Arial" w:eastAsia="Arial" w:hAnsi="Arial" w:cs="Arial"/>
                <w:b/>
                <w:sz w:val="24"/>
                <w:szCs w:val="24"/>
              </w:rPr>
              <w:t xml:space="preserve"> 67.888/2023)</w:t>
            </w:r>
            <w:r>
              <w:rPr>
                <w:rFonts w:ascii="Arial" w:eastAsia="Arial" w:hAnsi="Arial" w:cs="Arial"/>
                <w:b/>
                <w:sz w:val="24"/>
                <w:szCs w:val="24"/>
                <w:vertAlign w:val="superscript"/>
              </w:rPr>
              <w:footnoteReference w:id="12"/>
            </w:r>
            <w:r>
              <w:rPr>
                <w:rFonts w:ascii="Arial" w:eastAsia="Arial" w:hAnsi="Arial" w:cs="Arial"/>
                <w:b/>
                <w:sz w:val="24"/>
                <w:szCs w:val="24"/>
              </w:rPr>
              <w:t>:</w:t>
            </w:r>
          </w:p>
          <w:p w14:paraId="60EEC9E9"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composição de custos unitários menores ou iguais à mediana do item nos sistemas oficiais de governo; </w:t>
            </w:r>
          </w:p>
          <w:p w14:paraId="43C4CB95"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contratações similares feitas pela Administração Pública, em execução ou concluídas no período de 1 ano anterior à data de pesquisa; </w:t>
            </w:r>
          </w:p>
          <w:p w14:paraId="6FC2E818"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dados </w:t>
            </w:r>
            <w:r>
              <w:rPr>
                <w:rFonts w:ascii="Arial" w:eastAsia="Arial" w:hAnsi="Arial" w:cs="Arial"/>
                <w:sz w:val="22"/>
                <w:szCs w:val="22"/>
              </w:rPr>
              <w:t>de pesquisa publicada em mídia especializada, de tabela de referência formalmente aprovada pelo Poder Executivo federal ou estadual e de sítios eletrônicos especializados ou de domínio amplo, desde que atualizados e com antecedência de 6 meses da data de d</w:t>
            </w:r>
            <w:r>
              <w:rPr>
                <w:rFonts w:ascii="Arial" w:eastAsia="Arial" w:hAnsi="Arial" w:cs="Arial"/>
                <w:sz w:val="22"/>
                <w:szCs w:val="22"/>
              </w:rPr>
              <w:t xml:space="preserve">ivulgação do aviso de contratação direta; </w:t>
            </w:r>
          </w:p>
          <w:p w14:paraId="234EE02D"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pesquisa direta com, no mínimo, 3 fornecedores, com solicitação formal de cotação e justificativa da escolha desses fornecedores, observada a antecedência de 6 meses da data de divulgação do aviso de contrata</w:t>
            </w:r>
            <w:r>
              <w:rPr>
                <w:rFonts w:ascii="Arial" w:eastAsia="Arial" w:hAnsi="Arial" w:cs="Arial"/>
                <w:sz w:val="22"/>
                <w:szCs w:val="22"/>
              </w:rPr>
              <w:t xml:space="preserve">ção direta; </w:t>
            </w:r>
          </w:p>
          <w:p w14:paraId="23FAD0C7"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pesquisa na base nacional de notas fiscais eletrônicas e/ou em bases do Estado de São Paulo, com datas compreendidas no período de até 1 ano anterior à data de divulgação do aviso de contratação direta. </w:t>
            </w:r>
          </w:p>
          <w:p w14:paraId="68281F22"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 xml:space="preserve">*Caso não seja possível estimar o </w:t>
            </w:r>
            <w:r>
              <w:rPr>
                <w:rFonts w:ascii="Arial" w:eastAsia="Arial" w:hAnsi="Arial" w:cs="Arial"/>
                <w:b/>
                <w:sz w:val="24"/>
                <w:szCs w:val="24"/>
              </w:rPr>
              <w:t xml:space="preserve">valor com base nos parâmetros acima, </w:t>
            </w:r>
          </w:p>
          <w:p w14:paraId="663F4812" w14:textId="77777777" w:rsidR="00FE013F" w:rsidRDefault="00A15FBE">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valores de contratações de objetos idênticos, comercializados pela futura contratada, por meio da apresentação de notas fiscais emitidas para outros contratantes, públicos ou privados, no período de até 1 (um) ano</w:t>
            </w:r>
            <w:r>
              <w:rPr>
                <w:rFonts w:ascii="Arial" w:eastAsia="Arial" w:hAnsi="Arial" w:cs="Arial"/>
                <w:sz w:val="22"/>
                <w:szCs w:val="22"/>
              </w:rPr>
              <w:t xml:space="preserve"> anterior à data da contratação pela Administração, ou por outro meio idôneo.</w:t>
            </w:r>
            <w:r>
              <w:rPr>
                <w:rFonts w:ascii="Arial" w:eastAsia="Arial" w:hAnsi="Arial" w:cs="Arial"/>
                <w:sz w:val="22"/>
                <w:szCs w:val="22"/>
                <w:vertAlign w:val="superscript"/>
              </w:rPr>
              <w:footnoteReference w:id="13"/>
            </w:r>
          </w:p>
          <w:p w14:paraId="24BCC9E2" w14:textId="77777777" w:rsidR="00FE013F" w:rsidRDefault="00FE013F">
            <w:pPr>
              <w:spacing w:before="80" w:after="80"/>
              <w:ind w:left="0" w:hanging="2"/>
              <w:jc w:val="both"/>
              <w:rPr>
                <w:rFonts w:ascii="Arial" w:eastAsia="Arial" w:hAnsi="Arial" w:cs="Arial"/>
                <w:sz w:val="22"/>
                <w:szCs w:val="22"/>
              </w:rPr>
            </w:pPr>
          </w:p>
        </w:tc>
      </w:tr>
      <w:tr w:rsidR="00FE013F" w14:paraId="05C8AD69" w14:textId="77777777">
        <w:trPr>
          <w:trHeight w:val="3318"/>
        </w:trPr>
        <w:tc>
          <w:tcPr>
            <w:tcW w:w="8721" w:type="dxa"/>
            <w:vAlign w:val="center"/>
          </w:tcPr>
          <w:p w14:paraId="197980A8" w14:textId="77777777" w:rsidR="00FE013F" w:rsidRDefault="00A15FBE">
            <w:pPr>
              <w:spacing w:before="80" w:after="80"/>
              <w:ind w:left="0" w:hanging="2"/>
              <w:jc w:val="both"/>
              <w:rPr>
                <w:sz w:val="24"/>
                <w:szCs w:val="24"/>
              </w:rPr>
            </w:pPr>
            <w:r>
              <w:rPr>
                <w:rFonts w:ascii="Arial" w:eastAsia="Arial" w:hAnsi="Arial" w:cs="Arial"/>
                <w:b/>
                <w:sz w:val="24"/>
                <w:szCs w:val="24"/>
              </w:rPr>
              <w:t>4.2.</w:t>
            </w:r>
            <w:r>
              <w:rPr>
                <w:rFonts w:ascii="Arial" w:eastAsia="Arial" w:hAnsi="Arial" w:cs="Arial"/>
                <w:sz w:val="24"/>
                <w:szCs w:val="24"/>
              </w:rPr>
              <w:t xml:space="preserve">   A </w:t>
            </w:r>
            <w:r>
              <w:rPr>
                <w:rFonts w:ascii="Arial" w:eastAsia="Arial" w:hAnsi="Arial" w:cs="Arial"/>
                <w:b/>
                <w:sz w:val="24"/>
                <w:szCs w:val="24"/>
              </w:rPr>
              <w:t>justificativa de preços (fls. _______)</w:t>
            </w:r>
            <w:r>
              <w:rPr>
                <w:rFonts w:ascii="Arial" w:eastAsia="Arial" w:hAnsi="Arial" w:cs="Arial"/>
                <w:sz w:val="24"/>
                <w:szCs w:val="24"/>
              </w:rPr>
              <w:t xml:space="preserve"> deverá ser formalizada, redigida e assinada pelo servidor/equipe responsável pela pesquisa, com a análise econômica do valor estimado, contendo, ao menos, as seguintes informações</w:t>
            </w:r>
            <w:r>
              <w:rPr>
                <w:rFonts w:ascii="Arial" w:eastAsia="Arial" w:hAnsi="Arial" w:cs="Arial"/>
                <w:sz w:val="24"/>
                <w:szCs w:val="24"/>
                <w:vertAlign w:val="superscript"/>
              </w:rPr>
              <w:footnoteReference w:id="14"/>
            </w:r>
            <w:r>
              <w:rPr>
                <w:rFonts w:ascii="Arial" w:eastAsia="Arial" w:hAnsi="Arial" w:cs="Arial"/>
                <w:sz w:val="24"/>
                <w:szCs w:val="24"/>
              </w:rPr>
              <w:t>:</w:t>
            </w:r>
            <w:r>
              <w:rPr>
                <w:sz w:val="24"/>
                <w:szCs w:val="24"/>
              </w:rPr>
              <w:t xml:space="preserve"> </w:t>
            </w:r>
          </w:p>
          <w:p w14:paraId="654973B0"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I - </w:t>
            </w:r>
            <w:proofErr w:type="gramStart"/>
            <w:r>
              <w:rPr>
                <w:rFonts w:ascii="Arial" w:eastAsia="Arial" w:hAnsi="Arial" w:cs="Arial"/>
                <w:sz w:val="22"/>
                <w:szCs w:val="22"/>
              </w:rPr>
              <w:t>descrição</w:t>
            </w:r>
            <w:proofErr w:type="gramEnd"/>
            <w:r>
              <w:rPr>
                <w:rFonts w:ascii="Arial" w:eastAsia="Arial" w:hAnsi="Arial" w:cs="Arial"/>
                <w:sz w:val="22"/>
                <w:szCs w:val="22"/>
              </w:rPr>
              <w:t xml:space="preserve"> do objeto a ser contratado; </w:t>
            </w:r>
          </w:p>
          <w:p w14:paraId="4DE80BCA"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II - </w:t>
            </w:r>
            <w:proofErr w:type="gramStart"/>
            <w:r>
              <w:rPr>
                <w:rFonts w:ascii="Arial" w:eastAsia="Arial" w:hAnsi="Arial" w:cs="Arial"/>
                <w:sz w:val="22"/>
                <w:szCs w:val="22"/>
              </w:rPr>
              <w:t>caracterização</w:t>
            </w:r>
            <w:proofErr w:type="gramEnd"/>
            <w:r>
              <w:rPr>
                <w:rFonts w:ascii="Arial" w:eastAsia="Arial" w:hAnsi="Arial" w:cs="Arial"/>
                <w:sz w:val="22"/>
                <w:szCs w:val="22"/>
              </w:rPr>
              <w:t xml:space="preserve"> das fontes consultadas; </w:t>
            </w:r>
          </w:p>
          <w:p w14:paraId="5A1930F4"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III - série de preços coletados; </w:t>
            </w:r>
          </w:p>
          <w:p w14:paraId="1377E20D"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IV - </w:t>
            </w:r>
            <w:proofErr w:type="gramStart"/>
            <w:r>
              <w:rPr>
                <w:rFonts w:ascii="Arial" w:eastAsia="Arial" w:hAnsi="Arial" w:cs="Arial"/>
                <w:sz w:val="22"/>
                <w:szCs w:val="22"/>
              </w:rPr>
              <w:t>método</w:t>
            </w:r>
            <w:proofErr w:type="gramEnd"/>
            <w:r>
              <w:rPr>
                <w:rFonts w:ascii="Arial" w:eastAsia="Arial" w:hAnsi="Arial" w:cs="Arial"/>
                <w:sz w:val="22"/>
                <w:szCs w:val="22"/>
              </w:rPr>
              <w:t xml:space="preserve"> matemático aplicado para a definição do valor estimado, com a respectiva justificativa; </w:t>
            </w:r>
          </w:p>
          <w:p w14:paraId="7927C54A" w14:textId="77777777" w:rsidR="00FE013F" w:rsidRDefault="00A15FBE">
            <w:pPr>
              <w:spacing w:before="80" w:after="80"/>
              <w:ind w:left="0" w:hanging="2"/>
              <w:jc w:val="both"/>
              <w:rPr>
                <w:rFonts w:ascii="Arial" w:eastAsia="Arial" w:hAnsi="Arial" w:cs="Arial"/>
                <w:sz w:val="22"/>
                <w:szCs w:val="22"/>
              </w:rPr>
            </w:pPr>
            <w:r>
              <w:rPr>
                <w:rFonts w:ascii="Arial" w:eastAsia="Arial" w:hAnsi="Arial" w:cs="Arial"/>
                <w:sz w:val="22"/>
                <w:szCs w:val="22"/>
              </w:rPr>
              <w:t xml:space="preserve">V - </w:t>
            </w:r>
            <w:proofErr w:type="gramStart"/>
            <w:r>
              <w:rPr>
                <w:rFonts w:ascii="Arial" w:eastAsia="Arial" w:hAnsi="Arial" w:cs="Arial"/>
                <w:sz w:val="22"/>
                <w:szCs w:val="22"/>
              </w:rPr>
              <w:t>memória</w:t>
            </w:r>
            <w:proofErr w:type="gramEnd"/>
            <w:r>
              <w:rPr>
                <w:rFonts w:ascii="Arial" w:eastAsia="Arial" w:hAnsi="Arial" w:cs="Arial"/>
                <w:sz w:val="22"/>
                <w:szCs w:val="22"/>
              </w:rPr>
              <w:t xml:space="preserve"> de cálculo do valor estimado e documentos que lhe dão suporte.</w:t>
            </w:r>
          </w:p>
        </w:tc>
      </w:tr>
    </w:tbl>
    <w:p w14:paraId="7EB13CA1" w14:textId="77777777" w:rsidR="00FE013F" w:rsidRDefault="00FE013F">
      <w:pPr>
        <w:tabs>
          <w:tab w:val="left" w:pos="6221"/>
        </w:tabs>
        <w:ind w:left="0" w:hanging="2"/>
        <w:rPr>
          <w:rFonts w:ascii="Arial" w:eastAsia="Arial" w:hAnsi="Arial" w:cs="Arial"/>
          <w:sz w:val="24"/>
          <w:szCs w:val="24"/>
        </w:rPr>
      </w:pPr>
    </w:p>
    <w:p w14:paraId="706FE220" w14:textId="77777777" w:rsidR="00FE013F" w:rsidRDefault="00FE013F">
      <w:pPr>
        <w:tabs>
          <w:tab w:val="left" w:pos="6221"/>
        </w:tabs>
        <w:ind w:left="0" w:hanging="2"/>
        <w:rPr>
          <w:rFonts w:ascii="Arial" w:eastAsia="Arial" w:hAnsi="Arial" w:cs="Arial"/>
          <w:sz w:val="24"/>
          <w:szCs w:val="24"/>
        </w:rPr>
      </w:pPr>
    </w:p>
    <w:p w14:paraId="0F42C65C" w14:textId="77777777" w:rsidR="00FE013F" w:rsidRDefault="00FE013F">
      <w:pPr>
        <w:tabs>
          <w:tab w:val="left" w:pos="6221"/>
        </w:tabs>
        <w:ind w:left="0" w:hanging="2"/>
        <w:rPr>
          <w:rFonts w:ascii="Arial" w:eastAsia="Arial" w:hAnsi="Arial" w:cs="Arial"/>
          <w:sz w:val="24"/>
          <w:szCs w:val="24"/>
        </w:rPr>
      </w:pPr>
    </w:p>
    <w:p w14:paraId="0FC07E15" w14:textId="77777777" w:rsidR="00FE013F" w:rsidRDefault="00FE013F">
      <w:pPr>
        <w:tabs>
          <w:tab w:val="left" w:pos="6221"/>
        </w:tabs>
        <w:ind w:left="0" w:hanging="2"/>
        <w:rPr>
          <w:rFonts w:ascii="Arial" w:eastAsia="Arial" w:hAnsi="Arial" w:cs="Arial"/>
          <w:sz w:val="24"/>
          <w:szCs w:val="24"/>
        </w:rPr>
      </w:pPr>
    </w:p>
    <w:p w14:paraId="66B1AA1E" w14:textId="77777777" w:rsidR="00FE013F" w:rsidRDefault="00FE013F">
      <w:pPr>
        <w:tabs>
          <w:tab w:val="left" w:pos="6221"/>
        </w:tabs>
        <w:ind w:left="0" w:hanging="2"/>
        <w:rPr>
          <w:rFonts w:ascii="Arial" w:eastAsia="Arial" w:hAnsi="Arial" w:cs="Arial"/>
          <w:sz w:val="24"/>
          <w:szCs w:val="24"/>
        </w:rPr>
      </w:pPr>
    </w:p>
    <w:p w14:paraId="48D82D78" w14:textId="77777777" w:rsidR="00FE013F" w:rsidRDefault="00FE013F">
      <w:pPr>
        <w:tabs>
          <w:tab w:val="left" w:pos="6221"/>
        </w:tabs>
        <w:ind w:left="0" w:hanging="2"/>
        <w:rPr>
          <w:rFonts w:ascii="Arial" w:eastAsia="Arial" w:hAnsi="Arial" w:cs="Arial"/>
          <w:sz w:val="24"/>
          <w:szCs w:val="24"/>
        </w:rPr>
      </w:pPr>
    </w:p>
    <w:tbl>
      <w:tblPr>
        <w:tblStyle w:val="a3"/>
        <w:tblW w:w="8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9"/>
        <w:gridCol w:w="1483"/>
      </w:tblGrid>
      <w:tr w:rsidR="00FE013F" w14:paraId="68057CEF" w14:textId="77777777">
        <w:trPr>
          <w:trHeight w:val="437"/>
        </w:trPr>
        <w:tc>
          <w:tcPr>
            <w:tcW w:w="8692" w:type="dxa"/>
            <w:gridSpan w:val="2"/>
            <w:vAlign w:val="center"/>
          </w:tcPr>
          <w:p w14:paraId="28553601" w14:textId="77777777" w:rsidR="00FE013F" w:rsidRDefault="00A15FBE">
            <w:pPr>
              <w:tabs>
                <w:tab w:val="left" w:pos="6221"/>
              </w:tabs>
              <w:ind w:left="0" w:hanging="2"/>
              <w:rPr>
                <w:rFonts w:ascii="Arial" w:eastAsia="Arial" w:hAnsi="Arial" w:cs="Arial"/>
                <w:sz w:val="24"/>
                <w:szCs w:val="24"/>
              </w:rPr>
            </w:pPr>
            <w:r>
              <w:rPr>
                <w:rFonts w:ascii="Arial" w:eastAsia="Arial" w:hAnsi="Arial" w:cs="Arial"/>
                <w:b/>
                <w:sz w:val="24"/>
                <w:szCs w:val="24"/>
              </w:rPr>
              <w:lastRenderedPageBreak/>
              <w:t>5. Habilitação e Regularidade da Contratada</w:t>
            </w:r>
            <w:r>
              <w:rPr>
                <w:rFonts w:ascii="Arial" w:eastAsia="Arial" w:hAnsi="Arial" w:cs="Arial"/>
                <w:b/>
                <w:sz w:val="24"/>
                <w:szCs w:val="24"/>
                <w:vertAlign w:val="superscript"/>
              </w:rPr>
              <w:footnoteReference w:id="15"/>
            </w:r>
          </w:p>
        </w:tc>
      </w:tr>
      <w:tr w:rsidR="00FE013F" w14:paraId="72B6803F" w14:textId="77777777">
        <w:trPr>
          <w:trHeight w:val="982"/>
        </w:trPr>
        <w:tc>
          <w:tcPr>
            <w:tcW w:w="8692" w:type="dxa"/>
            <w:gridSpan w:val="2"/>
            <w:vAlign w:val="center"/>
          </w:tcPr>
          <w:p w14:paraId="3596BBFC" w14:textId="77777777" w:rsidR="00FE013F" w:rsidRDefault="00A15FBE">
            <w:pPr>
              <w:tabs>
                <w:tab w:val="left" w:pos="6221"/>
              </w:tabs>
              <w:ind w:left="0" w:hanging="2"/>
              <w:jc w:val="both"/>
              <w:rPr>
                <w:rFonts w:ascii="Arial" w:eastAsia="Arial" w:hAnsi="Arial" w:cs="Arial"/>
                <w:sz w:val="24"/>
                <w:szCs w:val="24"/>
              </w:rPr>
            </w:pPr>
            <w:r>
              <w:rPr>
                <w:rFonts w:ascii="Arial" w:eastAsia="Arial" w:hAnsi="Arial" w:cs="Arial"/>
                <w:b/>
                <w:sz w:val="24"/>
                <w:szCs w:val="24"/>
              </w:rPr>
              <w:t xml:space="preserve">5.1. </w:t>
            </w:r>
            <w:proofErr w:type="gramStart"/>
            <w:r>
              <w:rPr>
                <w:rFonts w:ascii="Arial" w:eastAsia="Arial" w:hAnsi="Arial" w:cs="Arial"/>
                <w:b/>
                <w:sz w:val="24"/>
                <w:szCs w:val="24"/>
              </w:rPr>
              <w:t>(  )</w:t>
            </w:r>
            <w:proofErr w:type="gramEnd"/>
            <w:r>
              <w:rPr>
                <w:rFonts w:ascii="Arial" w:eastAsia="Arial" w:hAnsi="Arial" w:cs="Arial"/>
                <w:b/>
                <w:sz w:val="24"/>
                <w:szCs w:val="24"/>
              </w:rPr>
              <w:t xml:space="preserve"> No caso de contratação celebrada diretamente com artista/entidade estrangeira que não atua no Brasil, inaplicável a comprovação de regularidade perante as autoridades brasileiras</w:t>
            </w:r>
            <w:r>
              <w:rPr>
                <w:rFonts w:ascii="Arial" w:eastAsia="Arial" w:hAnsi="Arial" w:cs="Arial"/>
                <w:b/>
                <w:sz w:val="24"/>
                <w:szCs w:val="24"/>
                <w:vertAlign w:val="superscript"/>
              </w:rPr>
              <w:footnoteReference w:id="16"/>
            </w:r>
            <w:r>
              <w:rPr>
                <w:rFonts w:ascii="Arial" w:eastAsia="Arial" w:hAnsi="Arial" w:cs="Arial"/>
                <w:b/>
                <w:sz w:val="24"/>
                <w:szCs w:val="24"/>
              </w:rPr>
              <w:t xml:space="preserve">. </w:t>
            </w:r>
          </w:p>
        </w:tc>
      </w:tr>
      <w:tr w:rsidR="00FE013F" w14:paraId="74B990AF" w14:textId="77777777">
        <w:tc>
          <w:tcPr>
            <w:tcW w:w="7209" w:type="dxa"/>
            <w:vAlign w:val="center"/>
          </w:tcPr>
          <w:p w14:paraId="5E62D896"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5.1.a – Razão da escolha da contratada</w:t>
            </w:r>
            <w:r>
              <w:rPr>
                <w:rFonts w:ascii="Arial" w:eastAsia="Arial" w:hAnsi="Arial" w:cs="Arial"/>
                <w:sz w:val="24"/>
                <w:szCs w:val="24"/>
                <w:vertAlign w:val="superscript"/>
              </w:rPr>
              <w:footnoteReference w:id="17"/>
            </w:r>
            <w:r>
              <w:rPr>
                <w:rFonts w:ascii="Arial" w:eastAsia="Arial" w:hAnsi="Arial" w:cs="Arial"/>
                <w:sz w:val="24"/>
                <w:szCs w:val="24"/>
              </w:rPr>
              <w:t xml:space="preserve"> </w:t>
            </w:r>
          </w:p>
        </w:tc>
        <w:tc>
          <w:tcPr>
            <w:tcW w:w="1483" w:type="dxa"/>
            <w:vAlign w:val="center"/>
          </w:tcPr>
          <w:p w14:paraId="111BDB52"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220774C4" w14:textId="77777777">
        <w:tc>
          <w:tcPr>
            <w:tcW w:w="7209" w:type="dxa"/>
            <w:vAlign w:val="center"/>
          </w:tcPr>
          <w:p w14:paraId="0DF076C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5.1.b – Proposta comercial, dentro da validade</w:t>
            </w:r>
          </w:p>
        </w:tc>
        <w:tc>
          <w:tcPr>
            <w:tcW w:w="1483" w:type="dxa"/>
            <w:vAlign w:val="center"/>
          </w:tcPr>
          <w:p w14:paraId="5D0849E3"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D3A7BA3" w14:textId="77777777">
        <w:tc>
          <w:tcPr>
            <w:tcW w:w="8692" w:type="dxa"/>
            <w:gridSpan w:val="2"/>
            <w:vAlign w:val="center"/>
          </w:tcPr>
          <w:p w14:paraId="13173AE1" w14:textId="77777777" w:rsidR="00FE013F" w:rsidRDefault="00A15FBE">
            <w:pPr>
              <w:spacing w:before="80" w:after="80"/>
              <w:ind w:left="0" w:hanging="2"/>
              <w:rPr>
                <w:rFonts w:ascii="Arial" w:eastAsia="Arial" w:hAnsi="Arial" w:cs="Arial"/>
                <w:sz w:val="24"/>
                <w:szCs w:val="24"/>
              </w:rPr>
            </w:pPr>
            <w:r>
              <w:rPr>
                <w:rFonts w:ascii="Arial" w:eastAsia="Arial" w:hAnsi="Arial" w:cs="Arial"/>
                <w:b/>
                <w:sz w:val="24"/>
                <w:szCs w:val="24"/>
              </w:rPr>
              <w:t xml:space="preserve">5.2. </w:t>
            </w: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No caso de contratação com artista/empresa nacional:</w:t>
            </w:r>
          </w:p>
        </w:tc>
      </w:tr>
      <w:tr w:rsidR="00FE013F" w14:paraId="7D39F149" w14:textId="77777777">
        <w:tc>
          <w:tcPr>
            <w:tcW w:w="7209" w:type="dxa"/>
            <w:vAlign w:val="center"/>
          </w:tcPr>
          <w:p w14:paraId="47A61B5E"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5.2.a – Razão da escolha da contratada</w:t>
            </w:r>
            <w:r>
              <w:rPr>
                <w:rFonts w:ascii="Arial" w:eastAsia="Arial" w:hAnsi="Arial" w:cs="Arial"/>
                <w:sz w:val="24"/>
                <w:szCs w:val="24"/>
                <w:vertAlign w:val="superscript"/>
              </w:rPr>
              <w:footnoteReference w:id="18"/>
            </w:r>
            <w:r>
              <w:rPr>
                <w:rFonts w:ascii="Arial" w:eastAsia="Arial" w:hAnsi="Arial" w:cs="Arial"/>
                <w:sz w:val="24"/>
                <w:szCs w:val="24"/>
              </w:rPr>
              <w:t xml:space="preserve"> </w:t>
            </w:r>
          </w:p>
        </w:tc>
        <w:tc>
          <w:tcPr>
            <w:tcW w:w="1483" w:type="dxa"/>
            <w:vAlign w:val="center"/>
          </w:tcPr>
          <w:p w14:paraId="4A74C86E"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3BC8E69D" w14:textId="77777777">
        <w:tc>
          <w:tcPr>
            <w:tcW w:w="7209" w:type="dxa"/>
            <w:vAlign w:val="center"/>
          </w:tcPr>
          <w:p w14:paraId="32EA68BE"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5.2.b – Proposta comercial, dentro da validade</w:t>
            </w:r>
          </w:p>
        </w:tc>
        <w:tc>
          <w:tcPr>
            <w:tcW w:w="1483" w:type="dxa"/>
            <w:vAlign w:val="center"/>
          </w:tcPr>
          <w:p w14:paraId="65C1182A"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84BDED6" w14:textId="77777777">
        <w:tc>
          <w:tcPr>
            <w:tcW w:w="7209" w:type="dxa"/>
            <w:vAlign w:val="center"/>
          </w:tcPr>
          <w:p w14:paraId="2543E955"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5.2.c – *</w:t>
            </w:r>
            <w:r>
              <w:rPr>
                <w:rFonts w:ascii="Arial" w:eastAsia="Arial" w:hAnsi="Arial" w:cs="Arial"/>
                <w:b/>
                <w:sz w:val="24"/>
                <w:szCs w:val="24"/>
              </w:rPr>
              <w:t>Verificação no SICAF</w:t>
            </w:r>
            <w:r>
              <w:rPr>
                <w:rFonts w:ascii="Arial" w:eastAsia="Arial" w:hAnsi="Arial" w:cs="Arial"/>
                <w:sz w:val="24"/>
                <w:szCs w:val="24"/>
              </w:rPr>
              <w:t xml:space="preserve"> e, se for o caso, documentos complementares</w:t>
            </w:r>
            <w:r>
              <w:rPr>
                <w:rFonts w:ascii="Arial" w:eastAsia="Arial" w:hAnsi="Arial" w:cs="Arial"/>
                <w:sz w:val="24"/>
                <w:szCs w:val="24"/>
                <w:vertAlign w:val="superscript"/>
              </w:rPr>
              <w:footnoteReference w:id="19"/>
            </w:r>
          </w:p>
        </w:tc>
        <w:tc>
          <w:tcPr>
            <w:tcW w:w="1483" w:type="dxa"/>
            <w:vAlign w:val="center"/>
          </w:tcPr>
          <w:p w14:paraId="395B229E"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0F63030C" w14:textId="77777777">
        <w:tc>
          <w:tcPr>
            <w:tcW w:w="7209" w:type="dxa"/>
            <w:vAlign w:val="center"/>
          </w:tcPr>
          <w:p w14:paraId="11B0B6F9"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5.2.d – CEIS (Cadastro Nacional de Empresas Inidôneas e Suspensas)</w:t>
            </w:r>
          </w:p>
        </w:tc>
        <w:tc>
          <w:tcPr>
            <w:tcW w:w="1483" w:type="dxa"/>
            <w:vAlign w:val="center"/>
          </w:tcPr>
          <w:p w14:paraId="4368326B"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5D9840FF" w14:textId="77777777">
        <w:tc>
          <w:tcPr>
            <w:tcW w:w="7209" w:type="dxa"/>
            <w:vAlign w:val="center"/>
          </w:tcPr>
          <w:p w14:paraId="6478A478"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5.2.e – CNEP (Cadastro Nacional de Empresas Punidas, da CGU)</w:t>
            </w:r>
          </w:p>
        </w:tc>
        <w:tc>
          <w:tcPr>
            <w:tcW w:w="1483" w:type="dxa"/>
            <w:vAlign w:val="center"/>
          </w:tcPr>
          <w:p w14:paraId="034A89E1"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475ECA64" w14:textId="77777777">
        <w:tc>
          <w:tcPr>
            <w:tcW w:w="7209" w:type="dxa"/>
            <w:vAlign w:val="center"/>
          </w:tcPr>
          <w:p w14:paraId="350262B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5.2.f – CNCIAI (Cadastro Nacional de Condenações Cíveis por Ato de Improbidade Administrativa e Inelegib</w:t>
            </w:r>
            <w:r>
              <w:rPr>
                <w:rFonts w:ascii="Arial" w:eastAsia="Arial" w:hAnsi="Arial" w:cs="Arial"/>
                <w:sz w:val="24"/>
                <w:szCs w:val="24"/>
              </w:rPr>
              <w:t>ilidade, do CNJ)</w:t>
            </w:r>
          </w:p>
        </w:tc>
        <w:tc>
          <w:tcPr>
            <w:tcW w:w="1483" w:type="dxa"/>
            <w:vAlign w:val="center"/>
          </w:tcPr>
          <w:p w14:paraId="3790C192"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C79D67E" w14:textId="77777777">
        <w:tc>
          <w:tcPr>
            <w:tcW w:w="7209" w:type="dxa"/>
            <w:vAlign w:val="center"/>
          </w:tcPr>
          <w:p w14:paraId="1A873BB1"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5.2.g – </w:t>
            </w:r>
            <w:r>
              <w:rPr>
                <w:rFonts w:ascii="Arial" w:eastAsia="Arial" w:hAnsi="Arial" w:cs="Arial"/>
                <w:i/>
                <w:sz w:val="24"/>
                <w:szCs w:val="24"/>
              </w:rPr>
              <w:t>e-Sanções</w:t>
            </w:r>
            <w:r>
              <w:rPr>
                <w:rFonts w:ascii="Arial" w:eastAsia="Arial" w:hAnsi="Arial" w:cs="Arial"/>
                <w:sz w:val="24"/>
                <w:szCs w:val="24"/>
              </w:rPr>
              <w:t xml:space="preserve"> (Sistema Eletrônico de Aplicação e Registro de Sanções Administrativa)</w:t>
            </w:r>
          </w:p>
        </w:tc>
        <w:tc>
          <w:tcPr>
            <w:tcW w:w="1483" w:type="dxa"/>
            <w:vAlign w:val="center"/>
          </w:tcPr>
          <w:p w14:paraId="5109B537"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1CCDB14A" w14:textId="77777777">
        <w:tc>
          <w:tcPr>
            <w:tcW w:w="7209" w:type="dxa"/>
            <w:vAlign w:val="center"/>
          </w:tcPr>
          <w:p w14:paraId="6926A5F8"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5.2.h – CEEP (Cadastro Estadual de Empresas Punidas)</w:t>
            </w:r>
          </w:p>
        </w:tc>
        <w:tc>
          <w:tcPr>
            <w:tcW w:w="1483" w:type="dxa"/>
            <w:vAlign w:val="center"/>
          </w:tcPr>
          <w:p w14:paraId="0ABA0139"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01B6755" w14:textId="77777777">
        <w:tc>
          <w:tcPr>
            <w:tcW w:w="7209" w:type="dxa"/>
            <w:vAlign w:val="center"/>
          </w:tcPr>
          <w:p w14:paraId="1A172599"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5.2.i – Consulta à relação de Apenados do TCESP</w:t>
            </w:r>
          </w:p>
        </w:tc>
        <w:tc>
          <w:tcPr>
            <w:tcW w:w="1483" w:type="dxa"/>
            <w:vAlign w:val="center"/>
          </w:tcPr>
          <w:p w14:paraId="050A1D87"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2578D24" w14:textId="77777777">
        <w:tc>
          <w:tcPr>
            <w:tcW w:w="7209" w:type="dxa"/>
            <w:vAlign w:val="center"/>
          </w:tcPr>
          <w:p w14:paraId="665816EC"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5.2.j. CADIN Estadual</w:t>
            </w:r>
            <w:r>
              <w:rPr>
                <w:rFonts w:ascii="Arial" w:eastAsia="Arial" w:hAnsi="Arial" w:cs="Arial"/>
                <w:sz w:val="24"/>
                <w:szCs w:val="24"/>
                <w:vertAlign w:val="superscript"/>
              </w:rPr>
              <w:footnoteReference w:id="20"/>
            </w:r>
          </w:p>
        </w:tc>
        <w:tc>
          <w:tcPr>
            <w:tcW w:w="1483" w:type="dxa"/>
            <w:vAlign w:val="center"/>
          </w:tcPr>
          <w:p w14:paraId="5C743D11" w14:textId="77777777" w:rsidR="00FE013F" w:rsidRDefault="00A15FBE">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FE013F" w14:paraId="79415324" w14:textId="77777777">
        <w:tc>
          <w:tcPr>
            <w:tcW w:w="8692" w:type="dxa"/>
            <w:gridSpan w:val="2"/>
            <w:vAlign w:val="center"/>
          </w:tcPr>
          <w:p w14:paraId="23CE815C"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OBS</w:t>
            </w:r>
            <w:r>
              <w:rPr>
                <w:rFonts w:ascii="Arial" w:eastAsia="Arial" w:hAnsi="Arial" w:cs="Arial"/>
                <w:b/>
                <w:sz w:val="24"/>
                <w:szCs w:val="24"/>
                <w:vertAlign w:val="superscript"/>
              </w:rPr>
              <w:footnoteReference w:id="21"/>
            </w:r>
            <w:r>
              <w:rPr>
                <w:rFonts w:ascii="Arial" w:eastAsia="Arial" w:hAnsi="Arial" w:cs="Arial"/>
                <w:b/>
                <w:sz w:val="24"/>
                <w:szCs w:val="24"/>
              </w:rPr>
              <w:t>:</w:t>
            </w:r>
            <w:r>
              <w:rPr>
                <w:rFonts w:ascii="Arial" w:eastAsia="Arial" w:hAnsi="Arial" w:cs="Arial"/>
                <w:sz w:val="24"/>
                <w:szCs w:val="24"/>
              </w:rPr>
              <w:t xml:space="preserve"> Nos casos de contratação com:</w:t>
            </w:r>
          </w:p>
          <w:p w14:paraId="444573D3"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entrega imediata (prazo de entrega até 30 dias da ordem de fornecimento);</w:t>
            </w:r>
          </w:p>
          <w:p w14:paraId="3779317B"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3F6C0EA1"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valores inferiores a ¼ do limite de dispensa para compras em geral (</w:t>
            </w:r>
            <w:r>
              <w:rPr>
                <w:rFonts w:ascii="Arial" w:eastAsia="Arial" w:hAnsi="Arial" w:cs="Arial"/>
                <w:b/>
                <w:sz w:val="24"/>
                <w:szCs w:val="24"/>
              </w:rPr>
              <w:t>R$15.681,40</w:t>
            </w:r>
            <w:r>
              <w:rPr>
                <w:rFonts w:ascii="Arial" w:eastAsia="Arial" w:hAnsi="Arial" w:cs="Arial"/>
                <w:sz w:val="24"/>
                <w:szCs w:val="24"/>
                <w:vertAlign w:val="superscript"/>
              </w:rPr>
              <w:footnoteReference w:id="22"/>
            </w:r>
            <w:r>
              <w:rPr>
                <w:rFonts w:ascii="Arial" w:eastAsia="Arial" w:hAnsi="Arial" w:cs="Arial"/>
                <w:sz w:val="24"/>
                <w:szCs w:val="24"/>
              </w:rPr>
              <w:t>);</w:t>
            </w:r>
          </w:p>
          <w:p w14:paraId="2F7A1340"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lastRenderedPageBreak/>
              <w:t>Somente se exigirá a comprovação de regularidade perante a Fazenda Estadual e, no caso de PJ, junto à Justiça do Trabalho e à Seguridade Social – Fls. ___________</w:t>
            </w:r>
          </w:p>
        </w:tc>
      </w:tr>
    </w:tbl>
    <w:p w14:paraId="5A1F8490" w14:textId="77777777" w:rsidR="00FE013F" w:rsidRDefault="00FE013F">
      <w:pPr>
        <w:tabs>
          <w:tab w:val="left" w:pos="6221"/>
        </w:tabs>
        <w:ind w:left="0" w:hanging="2"/>
        <w:rPr>
          <w:rFonts w:ascii="Arial" w:eastAsia="Arial" w:hAnsi="Arial" w:cs="Arial"/>
          <w:sz w:val="24"/>
          <w:szCs w:val="24"/>
        </w:rPr>
      </w:pPr>
    </w:p>
    <w:p w14:paraId="062D6527" w14:textId="77777777" w:rsidR="00FE013F" w:rsidRDefault="00FE013F">
      <w:pPr>
        <w:tabs>
          <w:tab w:val="left" w:pos="6221"/>
        </w:tabs>
        <w:ind w:left="0" w:hanging="2"/>
        <w:rPr>
          <w:rFonts w:ascii="Arial" w:eastAsia="Arial" w:hAnsi="Arial" w:cs="Arial"/>
          <w:sz w:val="24"/>
          <w:szCs w:val="24"/>
        </w:rPr>
      </w:pPr>
    </w:p>
    <w:tbl>
      <w:tblPr>
        <w:tblStyle w:val="a4"/>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3152"/>
      </w:tblGrid>
      <w:tr w:rsidR="00FE013F" w14:paraId="6A06F41F" w14:textId="77777777">
        <w:trPr>
          <w:trHeight w:val="327"/>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168E3EAB"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6. Minuta de Contrato</w:t>
            </w:r>
          </w:p>
        </w:tc>
      </w:tr>
      <w:tr w:rsidR="00FE013F" w14:paraId="3AB5E370"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27D02679"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SIM – Fls. __________</w:t>
            </w:r>
          </w:p>
          <w:p w14:paraId="7760C84B"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6.a. Utilizou-se o modelo padronizado e pré-aprovado?</w:t>
            </w:r>
          </w:p>
          <w:p w14:paraId="56F0EB5E"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6.b. Todos os campos foram devidamente preenchidos/justificados?</w:t>
            </w:r>
          </w:p>
          <w:p w14:paraId="73825461"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6.c. Indicar a versão utilizada - 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69EC0845" w14:textId="77777777" w:rsidR="00FE013F" w:rsidRDefault="00FE013F">
            <w:pPr>
              <w:spacing w:before="80" w:after="80"/>
              <w:ind w:left="0" w:hanging="2"/>
              <w:rPr>
                <w:rFonts w:ascii="Arial" w:eastAsia="Arial" w:hAnsi="Arial" w:cs="Arial"/>
                <w:sz w:val="24"/>
                <w:szCs w:val="24"/>
              </w:rPr>
            </w:pPr>
          </w:p>
          <w:p w14:paraId="1F0622CC"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4971BCE2" w14:textId="77777777" w:rsidR="00FE013F" w:rsidRDefault="00FE013F">
            <w:pPr>
              <w:spacing w:before="80" w:after="80"/>
              <w:ind w:left="0" w:hanging="2"/>
              <w:rPr>
                <w:rFonts w:ascii="Arial" w:eastAsia="Arial" w:hAnsi="Arial" w:cs="Arial"/>
                <w:sz w:val="24"/>
                <w:szCs w:val="24"/>
              </w:rPr>
            </w:pPr>
          </w:p>
          <w:p w14:paraId="2B67FC99" w14:textId="77777777" w:rsidR="00FE013F" w:rsidRDefault="00A15FBE">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4F5252E5" w14:textId="77777777" w:rsidR="00FE013F" w:rsidRDefault="00FE013F">
            <w:pPr>
              <w:spacing w:before="80" w:after="80"/>
              <w:ind w:left="0" w:hanging="2"/>
              <w:rPr>
                <w:rFonts w:ascii="Arial" w:eastAsia="Arial" w:hAnsi="Arial" w:cs="Arial"/>
                <w:sz w:val="24"/>
                <w:szCs w:val="24"/>
              </w:rPr>
            </w:pPr>
          </w:p>
          <w:p w14:paraId="244308D0" w14:textId="77777777" w:rsidR="00FE013F" w:rsidRDefault="00FE013F">
            <w:pPr>
              <w:spacing w:before="80" w:after="80"/>
              <w:ind w:left="0" w:hanging="2"/>
              <w:rPr>
                <w:rFonts w:ascii="Arial" w:eastAsia="Arial" w:hAnsi="Arial" w:cs="Arial"/>
                <w:sz w:val="24"/>
                <w:szCs w:val="24"/>
              </w:rPr>
            </w:pPr>
          </w:p>
        </w:tc>
      </w:tr>
      <w:tr w:rsidR="00FE013F" w14:paraId="0B7A1AE4" w14:textId="77777777">
        <w:trPr>
          <w:trHeight w:val="558"/>
        </w:trPr>
        <w:tc>
          <w:tcPr>
            <w:tcW w:w="8721" w:type="dxa"/>
            <w:gridSpan w:val="2"/>
            <w:vAlign w:val="center"/>
          </w:tcPr>
          <w:p w14:paraId="6EE30B4A"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NÃO</w:t>
            </w:r>
            <w:r>
              <w:rPr>
                <w:rFonts w:ascii="Arial" w:eastAsia="Arial" w:hAnsi="Arial" w:cs="Arial"/>
                <w:sz w:val="24"/>
                <w:szCs w:val="24"/>
                <w:vertAlign w:val="superscript"/>
              </w:rPr>
              <w:footnoteReference w:id="23"/>
            </w:r>
            <w:r>
              <w:rPr>
                <w:rFonts w:ascii="Arial" w:eastAsia="Arial" w:hAnsi="Arial" w:cs="Arial"/>
                <w:sz w:val="24"/>
                <w:szCs w:val="24"/>
              </w:rPr>
              <w:t xml:space="preserve">                    </w:t>
            </w:r>
          </w:p>
          <w:p w14:paraId="1734FA4A"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6.d. O contrato será </w:t>
            </w:r>
            <w:r>
              <w:rPr>
                <w:rFonts w:ascii="Arial" w:eastAsia="Arial" w:hAnsi="Arial" w:cs="Arial"/>
                <w:b/>
                <w:sz w:val="24"/>
                <w:szCs w:val="24"/>
              </w:rPr>
              <w:t>substituído</w:t>
            </w:r>
            <w:r>
              <w:rPr>
                <w:rFonts w:ascii="Arial" w:eastAsia="Arial" w:hAnsi="Arial" w:cs="Arial"/>
                <w:sz w:val="24"/>
                <w:szCs w:val="24"/>
              </w:rPr>
              <w:t xml:space="preserve"> pelos seguintes documentos (como, por exemplo, carta-contrato, nota de empenho, ordem de exec</w:t>
            </w:r>
            <w:r>
              <w:rPr>
                <w:rFonts w:ascii="Arial" w:eastAsia="Arial" w:hAnsi="Arial" w:cs="Arial"/>
                <w:sz w:val="24"/>
                <w:szCs w:val="24"/>
              </w:rPr>
              <w:t xml:space="preserve">ução de serviço, proposta comercial etc.), por conter as condições mínimas de contratação previstas no </w:t>
            </w:r>
            <w:r>
              <w:rPr>
                <w:rFonts w:ascii="Arial" w:eastAsia="Arial" w:hAnsi="Arial" w:cs="Arial"/>
                <w:b/>
                <w:sz w:val="24"/>
                <w:szCs w:val="24"/>
              </w:rPr>
              <w:t>art. 92, da Lei 14.133/2021</w:t>
            </w:r>
            <w:r>
              <w:rPr>
                <w:rFonts w:ascii="Arial" w:eastAsia="Arial" w:hAnsi="Arial" w:cs="Arial"/>
                <w:sz w:val="24"/>
                <w:szCs w:val="24"/>
              </w:rPr>
              <w:t>, no que couber:</w:t>
            </w:r>
          </w:p>
          <w:p w14:paraId="6672ABA4"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______________________ - fls. </w:t>
            </w:r>
          </w:p>
          <w:p w14:paraId="582FACB6"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sz w:val="24"/>
                <w:szCs w:val="24"/>
              </w:rPr>
              <w:t xml:space="preserve">______________________ - fls. </w:t>
            </w:r>
          </w:p>
          <w:p w14:paraId="38019ECE"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E</w:t>
            </w:r>
          </w:p>
          <w:p w14:paraId="313612C3" w14:textId="77777777" w:rsidR="00FE013F" w:rsidRDefault="00FE013F">
            <w:pPr>
              <w:spacing w:before="80" w:after="80"/>
              <w:ind w:left="0" w:hanging="2"/>
              <w:jc w:val="both"/>
              <w:rPr>
                <w:rFonts w:ascii="Arial" w:eastAsia="Arial" w:hAnsi="Arial" w:cs="Arial"/>
                <w:sz w:val="24"/>
                <w:szCs w:val="24"/>
              </w:rPr>
            </w:pPr>
          </w:p>
          <w:p w14:paraId="027A9916"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Possui valor até R$ 125.451,15</w:t>
            </w:r>
            <w:r>
              <w:rPr>
                <w:rFonts w:ascii="Arial" w:eastAsia="Arial" w:hAnsi="Arial" w:cs="Arial"/>
                <w:sz w:val="24"/>
                <w:szCs w:val="24"/>
                <w:vertAlign w:val="superscript"/>
              </w:rPr>
              <w:footnoteReference w:id="24"/>
            </w:r>
            <w:r>
              <w:rPr>
                <w:rFonts w:ascii="Arial" w:eastAsia="Arial" w:hAnsi="Arial" w:cs="Arial"/>
                <w:sz w:val="24"/>
                <w:szCs w:val="24"/>
              </w:rPr>
              <w:t xml:space="preserve">, para obras e serviços de engenharia ou de manutenção de veículos automotores) </w:t>
            </w:r>
          </w:p>
          <w:p w14:paraId="344F9717"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6C642CBD" w14:textId="77777777" w:rsidR="00FE013F" w:rsidRDefault="00A15FBE">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Possui valor até R$ 62.725,59</w:t>
            </w:r>
            <w:r>
              <w:rPr>
                <w:rFonts w:ascii="Arial" w:eastAsia="Arial" w:hAnsi="Arial" w:cs="Arial"/>
                <w:sz w:val="24"/>
                <w:szCs w:val="24"/>
                <w:vertAlign w:val="superscript"/>
              </w:rPr>
              <w:footnoteReference w:id="25"/>
            </w:r>
            <w:r>
              <w:rPr>
                <w:rFonts w:ascii="Arial" w:eastAsia="Arial" w:hAnsi="Arial" w:cs="Arial"/>
                <w:sz w:val="24"/>
                <w:szCs w:val="24"/>
              </w:rPr>
              <w:t>, para outros serviços e compras</w:t>
            </w:r>
            <w:r>
              <w:rPr>
                <w:rFonts w:ascii="Arial" w:eastAsia="Arial" w:hAnsi="Arial" w:cs="Arial"/>
                <w:sz w:val="24"/>
                <w:szCs w:val="24"/>
                <w:vertAlign w:val="superscript"/>
              </w:rPr>
              <w:footnoteReference w:id="26"/>
            </w:r>
          </w:p>
          <w:p w14:paraId="5A154844" w14:textId="77777777" w:rsidR="00FE013F" w:rsidRDefault="00A15FBE">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7D825169" w14:textId="77777777" w:rsidR="00FE013F" w:rsidRDefault="00A15FBE">
            <w:pPr>
              <w:shd w:val="clear" w:color="auto" w:fill="FFFFFF"/>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Trata-se de compra</w:t>
            </w:r>
            <w:r>
              <w:rPr>
                <w:rFonts w:ascii="Arial" w:eastAsia="Arial" w:hAnsi="Arial" w:cs="Arial"/>
                <w:sz w:val="24"/>
                <w:szCs w:val="24"/>
                <w:vertAlign w:val="superscript"/>
              </w:rPr>
              <w:footnoteReference w:id="27"/>
            </w:r>
            <w:r>
              <w:rPr>
                <w:rFonts w:ascii="Arial" w:eastAsia="Arial" w:hAnsi="Arial" w:cs="Arial"/>
                <w:sz w:val="24"/>
                <w:szCs w:val="24"/>
              </w:rPr>
              <w:t xml:space="preserve"> com entrega integral e imediata (</w:t>
            </w:r>
            <w:r>
              <w:rPr>
                <w:rFonts w:ascii="Arial" w:eastAsia="Arial" w:hAnsi="Arial" w:cs="Arial"/>
                <w:sz w:val="24"/>
                <w:szCs w:val="24"/>
              </w:rPr>
              <w:t>até 30 dias, da ordem de fornecimento) e que não resultem obrigações futuras, inclusive de assistência técnica, independentemente de valor.</w:t>
            </w:r>
          </w:p>
        </w:tc>
      </w:tr>
    </w:tbl>
    <w:p w14:paraId="6666461D" w14:textId="77777777" w:rsidR="00FE013F" w:rsidRDefault="00FE013F">
      <w:pPr>
        <w:tabs>
          <w:tab w:val="left" w:pos="6221"/>
        </w:tabs>
        <w:ind w:left="0" w:hanging="2"/>
        <w:rPr>
          <w:rFonts w:ascii="Arial" w:eastAsia="Arial" w:hAnsi="Arial" w:cs="Arial"/>
          <w:sz w:val="24"/>
          <w:szCs w:val="24"/>
        </w:rPr>
      </w:pPr>
    </w:p>
    <w:p w14:paraId="7C9CA398" w14:textId="77777777" w:rsidR="00FE013F" w:rsidRDefault="00FE013F">
      <w:pPr>
        <w:tabs>
          <w:tab w:val="left" w:pos="6221"/>
        </w:tabs>
        <w:ind w:left="0" w:hanging="2"/>
        <w:rPr>
          <w:rFonts w:ascii="Arial" w:eastAsia="Arial" w:hAnsi="Arial" w:cs="Arial"/>
          <w:sz w:val="24"/>
          <w:szCs w:val="24"/>
        </w:rPr>
      </w:pPr>
    </w:p>
    <w:p w14:paraId="203CEEFD" w14:textId="77777777" w:rsidR="00FE013F" w:rsidRDefault="00A15FBE">
      <w:pPr>
        <w:spacing w:line="36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Instruído o procedimento até o presente, declaro, sob minha responsabilidade, que as informações constantes do presente </w:t>
      </w:r>
      <w:r>
        <w:rPr>
          <w:rFonts w:ascii="Arial" w:eastAsia="Arial" w:hAnsi="Arial" w:cs="Arial"/>
          <w:i/>
          <w:sz w:val="24"/>
          <w:szCs w:val="24"/>
        </w:rPr>
        <w:t>relatório de verificação</w:t>
      </w:r>
      <w:r>
        <w:rPr>
          <w:rFonts w:ascii="Arial" w:eastAsia="Arial" w:hAnsi="Arial" w:cs="Arial"/>
          <w:sz w:val="24"/>
          <w:szCs w:val="24"/>
        </w:rPr>
        <w:t xml:space="preserve"> são verídicas e que o preenchimento dos requisitos legais ora elencados foi por mim verificado.</w:t>
      </w:r>
    </w:p>
    <w:p w14:paraId="5CA9219F" w14:textId="77777777" w:rsidR="00FE013F" w:rsidRDefault="00FE013F">
      <w:pPr>
        <w:spacing w:line="360" w:lineRule="auto"/>
        <w:ind w:left="0" w:hanging="2"/>
        <w:jc w:val="both"/>
        <w:rPr>
          <w:rFonts w:ascii="Arial" w:eastAsia="Arial" w:hAnsi="Arial" w:cs="Arial"/>
          <w:sz w:val="24"/>
          <w:szCs w:val="24"/>
          <w:highlight w:val="yellow"/>
        </w:rPr>
      </w:pPr>
    </w:p>
    <w:p w14:paraId="5F7BB610" w14:textId="77777777" w:rsidR="00FE013F" w:rsidRDefault="00A15FBE">
      <w:pPr>
        <w:spacing w:line="360" w:lineRule="auto"/>
        <w:ind w:left="0" w:hanging="2"/>
        <w:jc w:val="both"/>
        <w:rPr>
          <w:rFonts w:ascii="Arial" w:eastAsia="Arial" w:hAnsi="Arial" w:cs="Arial"/>
          <w:sz w:val="24"/>
          <w:szCs w:val="24"/>
        </w:rPr>
      </w:pPr>
      <w:r>
        <w:rPr>
          <w:rFonts w:ascii="Arial" w:eastAsia="Arial" w:hAnsi="Arial" w:cs="Arial"/>
          <w:sz w:val="24"/>
          <w:szCs w:val="24"/>
        </w:rPr>
        <w:t>Declaro, especificamente, que o termo de contrato utilizado (se for o caso, nos termos do item 6 acima) seguiu a minuta disponibilizada e pré-aprovada pela Procuradoria Geral, e que não foram feitas modificações no texto que não o mero preenchimento dos ca</w:t>
      </w:r>
      <w:r>
        <w:rPr>
          <w:rFonts w:ascii="Arial" w:eastAsia="Arial" w:hAnsi="Arial" w:cs="Arial"/>
          <w:sz w:val="24"/>
          <w:szCs w:val="24"/>
        </w:rPr>
        <w:t>mpos editáveis.</w:t>
      </w:r>
    </w:p>
    <w:p w14:paraId="280473D5" w14:textId="77777777" w:rsidR="00FE013F" w:rsidRDefault="00FE013F">
      <w:pPr>
        <w:spacing w:line="360" w:lineRule="auto"/>
        <w:ind w:left="0" w:hanging="2"/>
        <w:jc w:val="both"/>
        <w:rPr>
          <w:rFonts w:ascii="Arial" w:eastAsia="Arial" w:hAnsi="Arial" w:cs="Arial"/>
          <w:sz w:val="24"/>
          <w:szCs w:val="24"/>
          <w:highlight w:val="yellow"/>
        </w:rPr>
      </w:pPr>
    </w:p>
    <w:p w14:paraId="4DDC7B0F" w14:textId="77777777" w:rsidR="00FE013F" w:rsidRDefault="00A15FBE">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Pelo exposto, tratando-se de hipótese de contratação direta por inexigibilidade com </w:t>
      </w:r>
      <w:r>
        <w:rPr>
          <w:rFonts w:ascii="Arial" w:eastAsia="Arial" w:hAnsi="Arial" w:cs="Arial"/>
          <w:b/>
          <w:sz w:val="24"/>
          <w:szCs w:val="24"/>
        </w:rPr>
        <w:t>valores de até</w:t>
      </w:r>
      <w:r>
        <w:rPr>
          <w:rFonts w:ascii="Arial" w:eastAsia="Arial" w:hAnsi="Arial" w:cs="Arial"/>
          <w:i/>
          <w:sz w:val="24"/>
          <w:szCs w:val="24"/>
          <w:vertAlign w:val="superscript"/>
        </w:rPr>
        <w:footnoteReference w:id="28"/>
      </w:r>
      <w:r>
        <w:rPr>
          <w:rFonts w:ascii="Arial" w:eastAsia="Arial" w:hAnsi="Arial" w:cs="Arial"/>
          <w:sz w:val="24"/>
          <w:szCs w:val="24"/>
        </w:rPr>
        <w:t>:</w:t>
      </w:r>
    </w:p>
    <w:p w14:paraId="1E69CFA2" w14:textId="77777777" w:rsidR="00FE013F" w:rsidRDefault="00A15FBE">
      <w:pPr>
        <w:spacing w:before="80" w:after="80"/>
        <w:ind w:left="0" w:hanging="2"/>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w:t>
      </w:r>
      <w:r>
        <w:rPr>
          <w:rFonts w:ascii="Arial" w:eastAsia="Arial" w:hAnsi="Arial" w:cs="Arial"/>
          <w:color w:val="000000"/>
          <w:sz w:val="24"/>
          <w:szCs w:val="24"/>
        </w:rPr>
        <w:t xml:space="preserve">R$ 250.902,30, </w:t>
      </w:r>
      <w:r>
        <w:rPr>
          <w:rFonts w:ascii="Arial" w:eastAsia="Arial" w:hAnsi="Arial" w:cs="Arial"/>
          <w:sz w:val="24"/>
          <w:szCs w:val="24"/>
        </w:rPr>
        <w:t xml:space="preserve">obras e serviços de engenharia ou de serviços de manutenção de veículos automotores </w:t>
      </w:r>
    </w:p>
    <w:p w14:paraId="5C4F43E1" w14:textId="77777777" w:rsidR="00FE013F" w:rsidRDefault="00A15FBE">
      <w:pPr>
        <w:spacing w:before="80" w:after="80"/>
        <w:ind w:left="0" w:hanging="2"/>
        <w:rPr>
          <w:rFonts w:ascii="Arial" w:eastAsia="Arial" w:hAnsi="Arial" w:cs="Arial"/>
          <w:color w:val="000000"/>
          <w:sz w:val="24"/>
          <w:szCs w:val="24"/>
        </w:rPr>
      </w:pPr>
      <w:r>
        <w:rPr>
          <w:rFonts w:ascii="Arial" w:eastAsia="Arial" w:hAnsi="Arial" w:cs="Arial"/>
          <w:b/>
          <w:sz w:val="24"/>
          <w:szCs w:val="24"/>
        </w:rPr>
        <w:t>OU</w:t>
      </w:r>
    </w:p>
    <w:p w14:paraId="67EBFA42" w14:textId="77777777" w:rsidR="00FE013F" w:rsidRDefault="00A15FBE">
      <w:pPr>
        <w:spacing w:line="360" w:lineRule="auto"/>
        <w:ind w:left="0" w:hanging="2"/>
        <w:jc w:val="both"/>
        <w:rPr>
          <w:rFonts w:ascii="Arial" w:eastAsia="Arial" w:hAnsi="Arial" w:cs="Arial"/>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R$ 125.451,18, outros </w:t>
      </w:r>
      <w:r>
        <w:rPr>
          <w:rFonts w:ascii="Arial" w:eastAsia="Arial" w:hAnsi="Arial" w:cs="Arial"/>
          <w:color w:val="000000"/>
          <w:sz w:val="24"/>
          <w:szCs w:val="24"/>
        </w:rPr>
        <w:t>serviços e compras</w:t>
      </w:r>
      <w:r>
        <w:rPr>
          <w:rFonts w:ascii="Arial" w:eastAsia="Arial" w:hAnsi="Arial" w:cs="Arial"/>
          <w:sz w:val="24"/>
          <w:szCs w:val="24"/>
        </w:rPr>
        <w:t xml:space="preserve">, </w:t>
      </w:r>
    </w:p>
    <w:p w14:paraId="62ECA8EA" w14:textId="77777777" w:rsidR="00FE013F" w:rsidRPr="00A15FBE" w:rsidRDefault="00A15FBE">
      <w:pPr>
        <w:spacing w:line="360" w:lineRule="auto"/>
        <w:ind w:left="0" w:hanging="2"/>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atesto a conformidade legal do </w:t>
      </w:r>
      <w:r w:rsidRPr="00A15FBE">
        <w:rPr>
          <w:rFonts w:ascii="Arial" w:eastAsia="Arial" w:hAnsi="Arial" w:cs="Arial"/>
          <w:sz w:val="24"/>
          <w:szCs w:val="24"/>
        </w:rPr>
        <w:t xml:space="preserve">procedimento adotado, para fins de </w:t>
      </w:r>
      <w:r w:rsidRPr="00A15FBE">
        <w:rPr>
          <w:rFonts w:ascii="Arial" w:eastAsia="Arial" w:hAnsi="Arial" w:cs="Arial"/>
          <w:b/>
          <w:sz w:val="24"/>
          <w:szCs w:val="24"/>
        </w:rPr>
        <w:t>dispensa de trâmite do processo na Procuradoria Geral da USP, nos termos do artigo 3º, § 1º, da Portaria PG n</w:t>
      </w:r>
      <w:r w:rsidRPr="00A15FBE">
        <w:rPr>
          <w:rFonts w:ascii="Arial" w:eastAsia="Arial" w:hAnsi="Arial" w:cs="Arial"/>
          <w:b/>
          <w:sz w:val="24"/>
          <w:szCs w:val="24"/>
          <w:vertAlign w:val="superscript"/>
        </w:rPr>
        <w:t>o</w:t>
      </w:r>
      <w:r w:rsidRPr="00A15FBE">
        <w:rPr>
          <w:rFonts w:ascii="Arial" w:eastAsia="Arial" w:hAnsi="Arial" w:cs="Arial"/>
          <w:b/>
          <w:sz w:val="24"/>
          <w:szCs w:val="24"/>
        </w:rPr>
        <w:t xml:space="preserve"> 12, de 23 de fevereiro de 2024</w:t>
      </w:r>
      <w:r w:rsidRPr="00A15FBE">
        <w:rPr>
          <w:rFonts w:ascii="Arial" w:eastAsia="Arial" w:hAnsi="Arial" w:cs="Arial"/>
          <w:b/>
          <w:sz w:val="24"/>
          <w:szCs w:val="24"/>
        </w:rPr>
        <w:t>, com as alterações introduz</w:t>
      </w:r>
      <w:r w:rsidRPr="00A15FBE">
        <w:rPr>
          <w:rFonts w:ascii="Arial" w:eastAsia="Arial" w:hAnsi="Arial" w:cs="Arial"/>
          <w:b/>
          <w:sz w:val="24"/>
          <w:szCs w:val="24"/>
        </w:rPr>
        <w:t>idas pela Portaria PG nº 13, de 30 de julho de 2024</w:t>
      </w:r>
      <w:r w:rsidRPr="00A15FBE">
        <w:rPr>
          <w:rFonts w:ascii="Arial" w:eastAsia="Arial" w:hAnsi="Arial" w:cs="Arial"/>
          <w:b/>
          <w:sz w:val="24"/>
          <w:szCs w:val="24"/>
          <w:vertAlign w:val="superscript"/>
        </w:rPr>
        <w:footnoteReference w:id="29"/>
      </w:r>
      <w:r w:rsidRPr="00A15FBE">
        <w:rPr>
          <w:rFonts w:ascii="Arial" w:eastAsia="Arial" w:hAnsi="Arial" w:cs="Arial"/>
          <w:b/>
          <w:sz w:val="24"/>
          <w:szCs w:val="24"/>
        </w:rPr>
        <w:t>.</w:t>
      </w:r>
    </w:p>
    <w:p w14:paraId="2C190B46" w14:textId="77777777" w:rsidR="00FE013F" w:rsidRDefault="00FE013F">
      <w:pPr>
        <w:spacing w:line="360" w:lineRule="auto"/>
        <w:ind w:left="0" w:hanging="2"/>
        <w:jc w:val="both"/>
        <w:rPr>
          <w:rFonts w:ascii="Arial" w:eastAsia="Arial" w:hAnsi="Arial" w:cs="Arial"/>
          <w:sz w:val="24"/>
          <w:szCs w:val="24"/>
        </w:rPr>
      </w:pPr>
    </w:p>
    <w:p w14:paraId="57D25658" w14:textId="77777777" w:rsidR="00FE013F" w:rsidRDefault="00FE013F">
      <w:pPr>
        <w:spacing w:line="360" w:lineRule="auto"/>
        <w:ind w:left="0" w:hanging="2"/>
        <w:rPr>
          <w:rFonts w:ascii="Arial" w:eastAsia="Arial" w:hAnsi="Arial" w:cs="Arial"/>
          <w:sz w:val="24"/>
          <w:szCs w:val="24"/>
          <w:highlight w:val="yellow"/>
        </w:rPr>
      </w:pPr>
    </w:p>
    <w:p w14:paraId="3B47469C" w14:textId="77777777" w:rsidR="00FE013F" w:rsidRDefault="00A15FBE">
      <w:pPr>
        <w:spacing w:line="360" w:lineRule="auto"/>
        <w:ind w:left="0" w:hanging="2"/>
        <w:jc w:val="center"/>
        <w:rPr>
          <w:rFonts w:ascii="Arial" w:eastAsia="Arial" w:hAnsi="Arial" w:cs="Arial"/>
          <w:sz w:val="24"/>
          <w:szCs w:val="24"/>
        </w:rPr>
      </w:pPr>
      <w:r>
        <w:rPr>
          <w:rFonts w:ascii="Arial" w:eastAsia="Arial" w:hAnsi="Arial" w:cs="Arial"/>
          <w:sz w:val="24"/>
          <w:szCs w:val="24"/>
        </w:rPr>
        <w:t xml:space="preserve">________________, ___ de 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20___.</w:t>
      </w:r>
    </w:p>
    <w:p w14:paraId="386CA3F1" w14:textId="77777777" w:rsidR="00FE013F" w:rsidRDefault="00FE013F">
      <w:pPr>
        <w:ind w:left="0" w:hanging="2"/>
        <w:jc w:val="center"/>
        <w:rPr>
          <w:rFonts w:ascii="Arial" w:eastAsia="Arial" w:hAnsi="Arial" w:cs="Arial"/>
          <w:sz w:val="24"/>
          <w:szCs w:val="24"/>
        </w:rPr>
      </w:pPr>
    </w:p>
    <w:p w14:paraId="3ADA2327" w14:textId="77777777" w:rsidR="00FE013F" w:rsidRDefault="00FE013F">
      <w:pPr>
        <w:ind w:left="0" w:hanging="2"/>
        <w:jc w:val="center"/>
        <w:rPr>
          <w:rFonts w:ascii="Arial" w:eastAsia="Arial" w:hAnsi="Arial" w:cs="Arial"/>
          <w:sz w:val="24"/>
          <w:szCs w:val="24"/>
        </w:rPr>
      </w:pPr>
    </w:p>
    <w:p w14:paraId="5D835766" w14:textId="77777777" w:rsidR="00FE013F" w:rsidRDefault="00A15FBE">
      <w:pPr>
        <w:ind w:left="0" w:hanging="2"/>
        <w:jc w:val="center"/>
        <w:rPr>
          <w:rFonts w:ascii="Arial" w:eastAsia="Arial" w:hAnsi="Arial" w:cs="Arial"/>
          <w:sz w:val="24"/>
          <w:szCs w:val="24"/>
        </w:rPr>
      </w:pPr>
      <w:r>
        <w:rPr>
          <w:rFonts w:ascii="Arial" w:eastAsia="Arial" w:hAnsi="Arial" w:cs="Arial"/>
          <w:sz w:val="24"/>
          <w:szCs w:val="24"/>
        </w:rPr>
        <w:t>(Nome e assinatura do servidor responsável)</w:t>
      </w:r>
    </w:p>
    <w:p w14:paraId="12BCC1CB" w14:textId="77777777" w:rsidR="00FE013F" w:rsidRDefault="00FE013F">
      <w:pPr>
        <w:tabs>
          <w:tab w:val="left" w:pos="6221"/>
        </w:tabs>
        <w:ind w:left="0" w:hanging="2"/>
        <w:rPr>
          <w:rFonts w:ascii="Arial" w:eastAsia="Arial" w:hAnsi="Arial" w:cs="Arial"/>
          <w:sz w:val="24"/>
          <w:szCs w:val="24"/>
        </w:rPr>
      </w:pPr>
    </w:p>
    <w:p w14:paraId="6E634523" w14:textId="77777777" w:rsidR="00FE013F" w:rsidRDefault="00FE013F">
      <w:pPr>
        <w:tabs>
          <w:tab w:val="left" w:pos="6221"/>
        </w:tabs>
        <w:ind w:left="0" w:hanging="2"/>
        <w:rPr>
          <w:rFonts w:ascii="Arial" w:eastAsia="Arial" w:hAnsi="Arial" w:cs="Arial"/>
          <w:sz w:val="24"/>
          <w:szCs w:val="24"/>
        </w:rPr>
      </w:pPr>
    </w:p>
    <w:p w14:paraId="716038FD" w14:textId="77777777" w:rsidR="00FE013F" w:rsidRDefault="00A15FBE">
      <w:pPr>
        <w:tabs>
          <w:tab w:val="left" w:pos="6221"/>
        </w:tabs>
        <w:spacing w:before="80" w:after="80"/>
        <w:ind w:left="0" w:hanging="2"/>
        <w:rPr>
          <w:rFonts w:ascii="Arial" w:eastAsia="Arial" w:hAnsi="Arial" w:cs="Arial"/>
          <w:sz w:val="24"/>
          <w:szCs w:val="24"/>
        </w:rPr>
      </w:pPr>
      <w:r>
        <w:rPr>
          <w:rFonts w:ascii="Arial" w:eastAsia="Arial" w:hAnsi="Arial" w:cs="Arial"/>
          <w:sz w:val="24"/>
          <w:szCs w:val="24"/>
        </w:rPr>
        <w:t>--------------------------------------------------------------------------------------------------------</w:t>
      </w:r>
    </w:p>
    <w:p w14:paraId="137723B2" w14:textId="77777777" w:rsidR="00FE013F" w:rsidRDefault="00A15FBE">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b/>
          <w:sz w:val="24"/>
          <w:szCs w:val="24"/>
        </w:rPr>
        <w:t>Em sequência, atendidos os requisitos legais e procedimentais para continuidade da contratação, a Unidade/Órgão deverá prosseguir com as seguintes etap</w:t>
      </w:r>
      <w:r>
        <w:rPr>
          <w:rFonts w:ascii="Arial" w:eastAsia="Arial" w:hAnsi="Arial" w:cs="Arial"/>
          <w:b/>
          <w:sz w:val="24"/>
          <w:szCs w:val="24"/>
        </w:rPr>
        <w:t>as, a título informativo, no que couber:</w:t>
      </w:r>
    </w:p>
    <w:p w14:paraId="5CA118C9" w14:textId="77777777" w:rsidR="00FE013F" w:rsidRDefault="00FE013F">
      <w:pPr>
        <w:tabs>
          <w:tab w:val="left" w:pos="6221"/>
        </w:tabs>
        <w:spacing w:before="80" w:after="80" w:line="360" w:lineRule="auto"/>
        <w:ind w:left="0" w:hanging="2"/>
        <w:jc w:val="both"/>
        <w:rPr>
          <w:rFonts w:ascii="Arial" w:eastAsia="Arial" w:hAnsi="Arial" w:cs="Arial"/>
          <w:sz w:val="24"/>
          <w:szCs w:val="24"/>
        </w:rPr>
      </w:pPr>
    </w:p>
    <w:p w14:paraId="2B40CEE8" w14:textId="77777777" w:rsidR="00FE013F" w:rsidRDefault="00A15FBE">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b/>
          <w:sz w:val="24"/>
          <w:szCs w:val="24"/>
        </w:rPr>
        <w:t>1) Providenciar a autorização final (adjudicação e homologação)</w:t>
      </w:r>
      <w:r>
        <w:rPr>
          <w:rFonts w:ascii="Arial" w:eastAsia="Arial" w:hAnsi="Arial" w:cs="Arial"/>
          <w:sz w:val="24"/>
          <w:szCs w:val="24"/>
        </w:rPr>
        <w:t xml:space="preserve"> para contratação direta por Inexigibilidade de Licitação, nos termos da competência definida no Art. 1º, inciso I, alínea “h”, Portaria GR nº 8.321/20</w:t>
      </w:r>
      <w:r>
        <w:rPr>
          <w:rFonts w:ascii="Arial" w:eastAsia="Arial" w:hAnsi="Arial" w:cs="Arial"/>
          <w:sz w:val="24"/>
          <w:szCs w:val="24"/>
        </w:rPr>
        <w:t>24.</w:t>
      </w:r>
    </w:p>
    <w:p w14:paraId="704E65BB" w14:textId="77777777" w:rsidR="00FE013F" w:rsidRDefault="00FE013F">
      <w:pPr>
        <w:tabs>
          <w:tab w:val="left" w:pos="6221"/>
        </w:tabs>
        <w:spacing w:line="360" w:lineRule="auto"/>
        <w:ind w:left="0" w:hanging="2"/>
        <w:jc w:val="both"/>
        <w:rPr>
          <w:rFonts w:ascii="Arial" w:eastAsia="Arial" w:hAnsi="Arial" w:cs="Arial"/>
          <w:sz w:val="24"/>
          <w:szCs w:val="24"/>
          <w:highlight w:val="yellow"/>
        </w:rPr>
      </w:pPr>
    </w:p>
    <w:p w14:paraId="0AA1B3C5" w14:textId="77777777" w:rsidR="00FE013F" w:rsidRDefault="00A15FBE">
      <w:pPr>
        <w:tabs>
          <w:tab w:val="left" w:pos="6221"/>
        </w:tabs>
        <w:spacing w:line="360" w:lineRule="auto"/>
        <w:ind w:left="0" w:hanging="2"/>
        <w:jc w:val="both"/>
        <w:rPr>
          <w:rFonts w:ascii="Arial" w:eastAsia="Arial" w:hAnsi="Arial" w:cs="Arial"/>
          <w:sz w:val="24"/>
          <w:szCs w:val="24"/>
        </w:rPr>
      </w:pPr>
      <w:r>
        <w:rPr>
          <w:rFonts w:ascii="Arial" w:eastAsia="Arial" w:hAnsi="Arial" w:cs="Arial"/>
          <w:b/>
          <w:sz w:val="24"/>
          <w:szCs w:val="24"/>
        </w:rPr>
        <w:t>2) Inserção no Sistema de Compras do Governo Federal</w:t>
      </w:r>
      <w:r>
        <w:rPr>
          <w:rFonts w:ascii="Arial" w:eastAsia="Arial" w:hAnsi="Arial" w:cs="Arial"/>
          <w:sz w:val="24"/>
          <w:szCs w:val="24"/>
        </w:rPr>
        <w:t xml:space="preserve">, nos termos do art. 23, Decreto Estadual nº 68.304/2024 (artigos 6º e 7º). </w:t>
      </w:r>
    </w:p>
    <w:p w14:paraId="787A315A" w14:textId="77777777" w:rsidR="00FE013F" w:rsidRDefault="00FE013F">
      <w:pPr>
        <w:tabs>
          <w:tab w:val="left" w:pos="6221"/>
        </w:tabs>
        <w:spacing w:before="80" w:after="80"/>
        <w:ind w:left="0" w:hanging="2"/>
        <w:rPr>
          <w:rFonts w:ascii="Arial" w:eastAsia="Arial" w:hAnsi="Arial" w:cs="Arial"/>
          <w:sz w:val="24"/>
          <w:szCs w:val="24"/>
        </w:rPr>
      </w:pPr>
    </w:p>
    <w:p w14:paraId="02C45105" w14:textId="77777777" w:rsidR="00FE013F" w:rsidRDefault="00A15FBE">
      <w:pPr>
        <w:spacing w:line="360" w:lineRule="auto"/>
        <w:ind w:left="0" w:hanging="2"/>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Após finalização do procedimento de contratação, a unidade/órgão responsável deverá providenciar a </w:t>
      </w:r>
      <w:r>
        <w:rPr>
          <w:rFonts w:ascii="Arial" w:eastAsia="Arial" w:hAnsi="Arial" w:cs="Arial"/>
          <w:b/>
          <w:sz w:val="24"/>
          <w:szCs w:val="24"/>
        </w:rPr>
        <w:t>PUBLICAÇÃO E DIVULG</w:t>
      </w:r>
      <w:r>
        <w:rPr>
          <w:rFonts w:ascii="Arial" w:eastAsia="Arial" w:hAnsi="Arial" w:cs="Arial"/>
          <w:b/>
          <w:sz w:val="24"/>
          <w:szCs w:val="24"/>
        </w:rPr>
        <w:t xml:space="preserve">AÇÃO, com manutenção </w:t>
      </w:r>
      <w:r>
        <w:rPr>
          <w:rFonts w:ascii="Arial" w:eastAsia="Arial" w:hAnsi="Arial" w:cs="Arial"/>
          <w:b/>
          <w:sz w:val="24"/>
          <w:szCs w:val="24"/>
          <w:u w:val="single"/>
        </w:rPr>
        <w:t>permanente</w:t>
      </w:r>
      <w:r>
        <w:rPr>
          <w:rFonts w:ascii="Arial" w:eastAsia="Arial" w:hAnsi="Arial" w:cs="Arial"/>
          <w:b/>
          <w:sz w:val="24"/>
          <w:szCs w:val="24"/>
        </w:rPr>
        <w:t xml:space="preserve"> em sítio eletrônico oficial:</w:t>
      </w:r>
    </w:p>
    <w:p w14:paraId="4064E217" w14:textId="77777777" w:rsidR="00FE013F" w:rsidRDefault="00A15FBE">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Ato de autorização da autoridade competente para a contratação direta ou extrato decorrente do contrato (art. 72, parágrafo único, da Lei 14.133/2021); </w:t>
      </w:r>
    </w:p>
    <w:p w14:paraId="79426BD0" w14:textId="77777777" w:rsidR="00FE013F" w:rsidRDefault="00A15FBE">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Contrato e eventuais aditivos no </w:t>
      </w:r>
      <w:r>
        <w:rPr>
          <w:rFonts w:ascii="Arial" w:eastAsia="Arial" w:hAnsi="Arial" w:cs="Arial"/>
          <w:b/>
          <w:sz w:val="24"/>
          <w:szCs w:val="24"/>
        </w:rPr>
        <w:t>Portal Na</w:t>
      </w:r>
      <w:r>
        <w:rPr>
          <w:rFonts w:ascii="Arial" w:eastAsia="Arial" w:hAnsi="Arial" w:cs="Arial"/>
          <w:b/>
          <w:sz w:val="24"/>
          <w:szCs w:val="24"/>
        </w:rPr>
        <w:t>cional de Contratações Públicas (PNCP), no prazo de 10 (dez) dias úteis</w:t>
      </w:r>
      <w:r>
        <w:rPr>
          <w:rFonts w:ascii="Arial" w:eastAsia="Arial" w:hAnsi="Arial" w:cs="Arial"/>
          <w:sz w:val="24"/>
          <w:szCs w:val="24"/>
        </w:rPr>
        <w:t xml:space="preserve"> (Art. 94, da Lei 14.133/2021). </w:t>
      </w:r>
    </w:p>
    <w:p w14:paraId="042F0B25" w14:textId="77777777" w:rsidR="00FE013F" w:rsidRDefault="00A15FBE">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b.1) A divulgação referente à contratação de profissional do setor artístico por inexigibilidade deverá identificar: </w:t>
      </w:r>
      <w:r>
        <w:rPr>
          <w:rFonts w:ascii="Arial" w:eastAsia="Arial" w:hAnsi="Arial" w:cs="Arial"/>
          <w:sz w:val="24"/>
          <w:szCs w:val="24"/>
          <w:u w:val="single"/>
        </w:rPr>
        <w:t xml:space="preserve">os custos do cachê do artista, dos </w:t>
      </w:r>
      <w:r>
        <w:rPr>
          <w:rFonts w:ascii="Arial" w:eastAsia="Arial" w:hAnsi="Arial" w:cs="Arial"/>
          <w:sz w:val="24"/>
          <w:szCs w:val="24"/>
          <w:u w:val="single"/>
        </w:rPr>
        <w:t>músicos ou da banda, quando houver, do transporte, da hospedagem, da infraestrutura, da logística do evento e das demais despesas específicas</w:t>
      </w:r>
      <w:r>
        <w:rPr>
          <w:rFonts w:ascii="Arial" w:eastAsia="Arial" w:hAnsi="Arial" w:cs="Arial"/>
          <w:sz w:val="24"/>
          <w:szCs w:val="24"/>
        </w:rPr>
        <w:t xml:space="preserve"> (§ 2º). </w:t>
      </w:r>
    </w:p>
    <w:sectPr w:rsidR="00FE013F">
      <w:headerReference w:type="default" r:id="rId9"/>
      <w:footerReference w:type="default" r:id="rId10"/>
      <w:pgSz w:w="11906" w:h="16838"/>
      <w:pgMar w:top="1985"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EC19" w14:textId="77777777" w:rsidR="00000000" w:rsidRDefault="00A15FBE">
      <w:pPr>
        <w:spacing w:line="240" w:lineRule="auto"/>
        <w:ind w:left="0" w:hanging="2"/>
      </w:pPr>
      <w:r>
        <w:separator/>
      </w:r>
    </w:p>
  </w:endnote>
  <w:endnote w:type="continuationSeparator" w:id="0">
    <w:p w14:paraId="0834D4B5" w14:textId="77777777" w:rsidR="00000000" w:rsidRDefault="00A15F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Univer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44BA" w14:textId="77777777" w:rsidR="00FE013F" w:rsidRDefault="00A15FBE">
    <w:pPr>
      <w:pBdr>
        <w:top w:val="nil"/>
        <w:left w:val="nil"/>
        <w:bottom w:val="nil"/>
        <w:right w:val="nil"/>
        <w:between w:val="nil"/>
      </w:pBdr>
      <w:tabs>
        <w:tab w:val="center" w:pos="4252"/>
        <w:tab w:val="right" w:pos="8504"/>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noProof/>
        <w:color w:val="000000"/>
      </w:rPr>
      <w:t>1</w:t>
    </w:r>
    <w:r>
      <w:rPr>
        <w:rFonts w:ascii="Times New Roman" w:hAnsi="Times New Roman"/>
        <w:color w:val="000000"/>
      </w:rPr>
      <w:fldChar w:fldCharType="end"/>
    </w:r>
  </w:p>
  <w:p w14:paraId="335836B6" w14:textId="77777777" w:rsidR="00FE013F" w:rsidRDefault="00FE013F">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2271" w14:textId="77777777" w:rsidR="00000000" w:rsidRDefault="00A15FBE">
      <w:pPr>
        <w:spacing w:line="240" w:lineRule="auto"/>
        <w:ind w:left="0" w:hanging="2"/>
      </w:pPr>
      <w:r>
        <w:separator/>
      </w:r>
    </w:p>
  </w:footnote>
  <w:footnote w:type="continuationSeparator" w:id="0">
    <w:p w14:paraId="48082AFD" w14:textId="77777777" w:rsidR="00000000" w:rsidRDefault="00A15FBE">
      <w:pPr>
        <w:spacing w:line="240" w:lineRule="auto"/>
        <w:ind w:left="0" w:hanging="2"/>
      </w:pPr>
      <w:r>
        <w:continuationSeparator/>
      </w:r>
    </w:p>
  </w:footnote>
  <w:footnote w:id="1">
    <w:p w14:paraId="1E4FB2A2"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67.641/2023.</w:t>
      </w:r>
    </w:p>
  </w:footnote>
  <w:footnote w:id="2">
    <w:p w14:paraId="7284BD0D"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7º, “caput”, da Lei 14.133/2021.</w:t>
      </w:r>
    </w:p>
  </w:footnote>
  <w:footnote w:id="3">
    <w:p w14:paraId="69559182"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12, inciso VII, e art. 72, inciso I, da Lei 14.133/21.</w:t>
      </w:r>
    </w:p>
  </w:footnote>
  <w:footnote w:id="4">
    <w:p w14:paraId="12BC16C0"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inciso I, e parágrafos 1º, 2º e 3º, da Lei 14.133/2021. </w:t>
      </w:r>
    </w:p>
  </w:footnote>
  <w:footnote w:id="5">
    <w:p w14:paraId="54C17427"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parágrafo 2º, da Lei 14.133/2021.</w:t>
      </w:r>
    </w:p>
  </w:footnote>
  <w:footnote w:id="6">
    <w:p w14:paraId="1C91E30C"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I, da Lei 14.133/2021.</w:t>
      </w:r>
    </w:p>
  </w:footnote>
  <w:footnote w:id="7">
    <w:p w14:paraId="23C005E6"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68.185/2023.</w:t>
      </w:r>
    </w:p>
  </w:footnote>
  <w:footnote w:id="8">
    <w:p w14:paraId="18AF076C"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w:t>
      </w:r>
      <w:r>
        <w:rPr>
          <w:rFonts w:ascii="Times New Roman" w:hAnsi="Times New Roman"/>
          <w:color w:val="000000"/>
        </w:rPr>
        <w:t xml:space="preserve"> 72, inciso IV, da Lei 14.133/2021.</w:t>
      </w:r>
    </w:p>
  </w:footnote>
  <w:footnote w:id="9">
    <w:p w14:paraId="0DBC7CED"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6º, §2º, do Decreto Estadual nº 68.304/2024.</w:t>
      </w:r>
    </w:p>
  </w:footnote>
  <w:footnote w:id="10">
    <w:p w14:paraId="1311368A"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Lei n</w:t>
      </w:r>
      <w:r>
        <w:rPr>
          <w:rFonts w:ascii="Times New Roman" w:hAnsi="Times New Roman"/>
          <w:color w:val="000000"/>
          <w:vertAlign w:val="superscript"/>
        </w:rPr>
        <w:t>o</w:t>
      </w:r>
      <w:r>
        <w:rPr>
          <w:rFonts w:ascii="Times New Roman" w:hAnsi="Times New Roman"/>
          <w:color w:val="000000"/>
        </w:rPr>
        <w:t xml:space="preserve"> 6.533/1978: </w:t>
      </w:r>
    </w:p>
    <w:p w14:paraId="16660694"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Art.  2º - Para os efeitos desta lei, é considerado:</w:t>
      </w:r>
    </w:p>
    <w:p w14:paraId="63172951"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I - Artista, o profissional que cria, interpreta ou executa obra de caráter cultural de qualquer natureza, para efeito de exibição ou divulgação pública, através de meios de comunicação de massa ou em locais onde se realizam espetáculos de diversão pública</w:t>
      </w:r>
      <w:r>
        <w:rPr>
          <w:rFonts w:ascii="Times New Roman" w:hAnsi="Times New Roman"/>
          <w:i/>
          <w:color w:val="000000"/>
        </w:rPr>
        <w:t>;</w:t>
      </w:r>
    </w:p>
    <w:p w14:paraId="0A98E232" w14:textId="77777777" w:rsidR="00FE013F" w:rsidRDefault="00FE013F">
      <w:pPr>
        <w:pBdr>
          <w:top w:val="nil"/>
          <w:left w:val="nil"/>
          <w:bottom w:val="nil"/>
          <w:right w:val="nil"/>
          <w:between w:val="nil"/>
        </w:pBdr>
        <w:spacing w:line="240" w:lineRule="auto"/>
        <w:ind w:left="0" w:hanging="2"/>
        <w:rPr>
          <w:rFonts w:ascii="Times New Roman" w:hAnsi="Times New Roman"/>
          <w:color w:val="000000"/>
        </w:rPr>
      </w:pPr>
    </w:p>
  </w:footnote>
  <w:footnote w:id="11">
    <w:p w14:paraId="262A3C82"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w:t>
      </w:r>
      <w:r>
        <w:rPr>
          <w:rFonts w:ascii="Times New Roman" w:hAnsi="Times New Roman"/>
          <w:i/>
          <w:color w:val="000000"/>
        </w:rPr>
        <w:t>Art. 74, § 2º Para fins do disposto no inciso II do </w:t>
      </w:r>
      <w:r>
        <w:rPr>
          <w:rFonts w:ascii="Times New Roman" w:hAnsi="Times New Roman"/>
          <w:b/>
          <w:i/>
          <w:color w:val="000000"/>
        </w:rPr>
        <w:t>caput</w:t>
      </w:r>
      <w:r>
        <w:rPr>
          <w:rFonts w:ascii="Times New Roman" w:hAnsi="Times New Roman"/>
          <w:i/>
          <w:color w:val="000000"/>
        </w:rPr>
        <w:t xml:space="preserve"> deste artigo, </w:t>
      </w:r>
      <w:r>
        <w:rPr>
          <w:rFonts w:ascii="Times New Roman" w:hAnsi="Times New Roman"/>
          <w:b/>
          <w:i/>
          <w:color w:val="000000"/>
        </w:rPr>
        <w:t>considera-se empresário exclusivo a pessoa física ou jurídica que possua contrato, declaração, carta ou outro documento que ateste a exclusividade permanente e contínua de represe</w:t>
      </w:r>
      <w:r>
        <w:rPr>
          <w:rFonts w:ascii="Times New Roman" w:hAnsi="Times New Roman"/>
          <w:b/>
          <w:i/>
          <w:color w:val="000000"/>
        </w:rPr>
        <w:t>ntação</w:t>
      </w:r>
      <w:r>
        <w:rPr>
          <w:rFonts w:ascii="Times New Roman" w:hAnsi="Times New Roman"/>
          <w:i/>
          <w:color w:val="000000"/>
        </w:rPr>
        <w:t xml:space="preserve">, no País ou em Estado específico, do profissional do setor artístico, </w:t>
      </w:r>
      <w:r>
        <w:rPr>
          <w:rFonts w:ascii="Times New Roman" w:hAnsi="Times New Roman"/>
          <w:b/>
          <w:i/>
          <w:color w:val="000000"/>
        </w:rPr>
        <w:t>afastada a possibilidade de contratação direta por inexigibilidade por meio de empresário com representação restrita a evento ou local específico</w:t>
      </w:r>
      <w:r>
        <w:rPr>
          <w:rFonts w:ascii="Times New Roman" w:hAnsi="Times New Roman"/>
          <w:i/>
          <w:color w:val="000000"/>
        </w:rPr>
        <w:t xml:space="preserve">. </w:t>
      </w:r>
      <w:r>
        <w:rPr>
          <w:rFonts w:ascii="Times New Roman" w:hAnsi="Times New Roman"/>
          <w:color w:val="000000"/>
        </w:rPr>
        <w:t>(</w:t>
      </w:r>
      <w:proofErr w:type="spellStart"/>
      <w:r>
        <w:rPr>
          <w:rFonts w:ascii="Times New Roman" w:hAnsi="Times New Roman"/>
          <w:color w:val="000000"/>
        </w:rPr>
        <w:t>g.n</w:t>
      </w:r>
      <w:proofErr w:type="spellEnd"/>
      <w:r>
        <w:rPr>
          <w:rFonts w:ascii="Times New Roman" w:hAnsi="Times New Roman"/>
          <w:color w:val="000000"/>
        </w:rPr>
        <w:t>.)</w:t>
      </w:r>
    </w:p>
  </w:footnote>
  <w:footnote w:id="12">
    <w:p w14:paraId="3D5FFE60"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Art. 3º, § 1º - Inexist</w:t>
      </w:r>
      <w:r>
        <w:rPr>
          <w:rFonts w:ascii="Times New Roman" w:hAnsi="Times New Roman"/>
          <w:color w:val="000000"/>
        </w:rPr>
        <w:t xml:space="preserve">e priorização entre os parâmetros arrolados nos incisos deste artigo, podendo o agente público </w:t>
      </w:r>
      <w:r>
        <w:rPr>
          <w:rFonts w:ascii="Times New Roman" w:hAnsi="Times New Roman"/>
          <w:b/>
          <w:color w:val="000000"/>
        </w:rPr>
        <w:t>optar pela adoção simples ou combinada dos referidos parâmetros</w:t>
      </w:r>
      <w:r>
        <w:rPr>
          <w:rFonts w:ascii="Times New Roman" w:hAnsi="Times New Roman"/>
          <w:color w:val="000000"/>
        </w:rPr>
        <w:t>, considerando a atratividade do mercado e a mitigação do risco de sobrepreço. (</w:t>
      </w:r>
      <w:proofErr w:type="spellStart"/>
      <w:r>
        <w:rPr>
          <w:rFonts w:ascii="Times New Roman" w:hAnsi="Times New Roman"/>
          <w:color w:val="000000"/>
        </w:rPr>
        <w:t>g.n</w:t>
      </w:r>
      <w:proofErr w:type="spellEnd"/>
      <w:r>
        <w:rPr>
          <w:rFonts w:ascii="Times New Roman" w:hAnsi="Times New Roman"/>
          <w:color w:val="000000"/>
        </w:rPr>
        <w:t>.)</w:t>
      </w:r>
    </w:p>
  </w:footnote>
  <w:footnote w:id="13">
    <w:p w14:paraId="26AE76BA"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23, § 4º, da Lei 14.133/2021, c/c Art. 10, § 1º, Decreto Estadual n</w:t>
      </w:r>
      <w:r>
        <w:rPr>
          <w:rFonts w:ascii="Times New Roman" w:hAnsi="Times New Roman"/>
          <w:color w:val="000000"/>
          <w:vertAlign w:val="superscript"/>
        </w:rPr>
        <w:t xml:space="preserve">o </w:t>
      </w:r>
      <w:r>
        <w:rPr>
          <w:rFonts w:ascii="Times New Roman" w:hAnsi="Times New Roman"/>
          <w:color w:val="000000"/>
        </w:rPr>
        <w:t>67.888/2023.</w:t>
      </w:r>
    </w:p>
  </w:footnote>
  <w:footnote w:id="14">
    <w:p w14:paraId="0E0D8CD9"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7º, Decreto Estadual n</w:t>
      </w:r>
      <w:r>
        <w:rPr>
          <w:rFonts w:ascii="Times New Roman" w:hAnsi="Times New Roman"/>
          <w:color w:val="000000"/>
          <w:vertAlign w:val="superscript"/>
        </w:rPr>
        <w:t>o</w:t>
      </w:r>
      <w:r>
        <w:rPr>
          <w:rFonts w:ascii="Times New Roman" w:hAnsi="Times New Roman"/>
          <w:color w:val="000000"/>
        </w:rPr>
        <w:t xml:space="preserve"> 67.888/2023.</w:t>
      </w:r>
    </w:p>
  </w:footnote>
  <w:footnote w:id="15">
    <w:p w14:paraId="38E11B0D"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 da Lei 14.133/2021.</w:t>
      </w:r>
    </w:p>
  </w:footnote>
  <w:footnote w:id="16">
    <w:p w14:paraId="2ED7A0BC"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Enquanto não for editado regulamento, nos termos do art. 70, p. único, da Lei 14.</w:t>
      </w:r>
      <w:r>
        <w:rPr>
          <w:rFonts w:ascii="Times New Roman" w:hAnsi="Times New Roman"/>
          <w:color w:val="000000"/>
        </w:rPr>
        <w:t>133/2021 (documentos de habilitação):</w:t>
      </w:r>
    </w:p>
    <w:p w14:paraId="213E0C10"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Art. 70. A documentação referida neste Capítulo poderá ser:</w:t>
      </w:r>
    </w:p>
    <w:p w14:paraId="64618B64"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w:t>
      </w:r>
    </w:p>
    <w:p w14:paraId="0D2D6368"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Parágrafo único. As empresas estrangeiras que não funcionem no País deverão apresentar documentos equivalentes, na forma de regulamento emitido pelo Poder Executivo federal.</w:t>
      </w:r>
    </w:p>
  </w:footnote>
  <w:footnote w:id="17">
    <w:p w14:paraId="214B4BB9"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VI, da Lei 14.133/2021.</w:t>
      </w:r>
    </w:p>
  </w:footnote>
  <w:footnote w:id="18">
    <w:p w14:paraId="60A4C1DC"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VI, da Lei 14.133/2021</w:t>
      </w:r>
      <w:r>
        <w:rPr>
          <w:rFonts w:ascii="Times New Roman" w:hAnsi="Times New Roman"/>
          <w:color w:val="000000"/>
        </w:rPr>
        <w:t>.</w:t>
      </w:r>
    </w:p>
  </w:footnote>
  <w:footnote w:id="19">
    <w:p w14:paraId="2BAE03F8"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17, “caput” e §§ 1º e 2º, do Decreto Estadual n</w:t>
      </w:r>
      <w:r>
        <w:rPr>
          <w:rFonts w:ascii="Times New Roman" w:hAnsi="Times New Roman"/>
          <w:color w:val="000000"/>
          <w:vertAlign w:val="superscript"/>
        </w:rPr>
        <w:t>o</w:t>
      </w:r>
      <w:r>
        <w:rPr>
          <w:rFonts w:ascii="Times New Roman" w:hAnsi="Times New Roman"/>
          <w:color w:val="000000"/>
        </w:rPr>
        <w:t xml:space="preserve"> 68.304/2024.</w:t>
      </w:r>
    </w:p>
  </w:footnote>
  <w:footnote w:id="20">
    <w:p w14:paraId="4DDAFBE9"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parágrafo único, do Decreto Estadual nº 68.304/2024.</w:t>
      </w:r>
    </w:p>
  </w:footnote>
  <w:footnote w:id="21">
    <w:p w14:paraId="64FF0A09"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do Decreto Estadual n</w:t>
      </w:r>
      <w:r>
        <w:rPr>
          <w:rFonts w:ascii="Times New Roman" w:hAnsi="Times New Roman"/>
          <w:color w:val="000000"/>
          <w:vertAlign w:val="superscript"/>
        </w:rPr>
        <w:t>o</w:t>
      </w:r>
      <w:r>
        <w:rPr>
          <w:rFonts w:ascii="Times New Roman" w:hAnsi="Times New Roman"/>
          <w:color w:val="000000"/>
        </w:rPr>
        <w:t xml:space="preserve"> 68.304/2024.</w:t>
      </w:r>
    </w:p>
  </w:footnote>
  <w:footnote w:id="22">
    <w:p w14:paraId="2730E6CB"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Quattrocento Sans" w:eastAsia="Quattrocento Sans" w:hAnsi="Quattrocento Sans" w:cs="Quattrocento Sans"/>
          <w:color w:val="000000"/>
          <w:sz w:val="18"/>
          <w:szCs w:val="18"/>
        </w:rPr>
        <w:t xml:space="preserve"> </w:t>
      </w:r>
      <w:r>
        <w:rPr>
          <w:rFonts w:ascii="Times New Roman" w:hAnsi="Times New Roman"/>
          <w:color w:val="000000"/>
        </w:rPr>
        <w:t>Decreto nº 12.343/2024 – valor a ser atualizado anualmente.</w:t>
      </w:r>
    </w:p>
  </w:footnote>
  <w:footnote w:id="23">
    <w:p w14:paraId="1A12C653"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95, da Lei 14.133/2021.</w:t>
      </w:r>
    </w:p>
  </w:footnote>
  <w:footnote w:id="24">
    <w:p w14:paraId="5D4F2A0E"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nº 12.343/2024, valor a ser atualizado anualmente.</w:t>
      </w:r>
    </w:p>
  </w:footnote>
  <w:footnote w:id="25">
    <w:p w14:paraId="410D3500"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nº 12.343/2024, valor a ser atualizado anualmente.</w:t>
      </w:r>
    </w:p>
  </w:footnote>
  <w:footnote w:id="26">
    <w:p w14:paraId="32B719A4" w14:textId="77777777" w:rsidR="00FE013F" w:rsidRDefault="00A15FBE">
      <w:pPr>
        <w:pBdr>
          <w:top w:val="nil"/>
          <w:left w:val="nil"/>
          <w:bottom w:val="nil"/>
          <w:right w:val="nil"/>
          <w:between w:val="nil"/>
        </w:pBdr>
        <w:spacing w:line="240" w:lineRule="auto"/>
        <w:ind w:left="0" w:hanging="2"/>
        <w:rPr>
          <w:rFonts w:ascii="Times New Roman" w:hAnsi="Times New Roman"/>
          <w:color w:val="FF0000"/>
        </w:rPr>
      </w:pPr>
      <w:r>
        <w:rPr>
          <w:vertAlign w:val="superscript"/>
        </w:rPr>
        <w:footnoteRef/>
      </w:r>
      <w:r>
        <w:rPr>
          <w:rFonts w:ascii="Times New Roman" w:hAnsi="Times New Roman"/>
          <w:color w:val="000000"/>
        </w:rPr>
        <w:t xml:space="preserve"> Sobre aplicabilidade do art. 95, inciso I</w:t>
      </w:r>
      <w:r>
        <w:rPr>
          <w:rFonts w:ascii="Times New Roman" w:hAnsi="Times New Roman"/>
          <w:color w:val="000000"/>
        </w:rPr>
        <w:t xml:space="preserve">, da Lei 14.133/2021 para as contratações por inexigibilidade, </w:t>
      </w:r>
      <w:r w:rsidRPr="00A15FBE">
        <w:rPr>
          <w:rFonts w:ascii="Times New Roman" w:hAnsi="Times New Roman"/>
        </w:rPr>
        <w:t>vide Parecer CJ/SAP n</w:t>
      </w:r>
      <w:r w:rsidRPr="00A15FBE">
        <w:rPr>
          <w:rFonts w:ascii="Times New Roman" w:hAnsi="Times New Roman"/>
          <w:vertAlign w:val="superscript"/>
        </w:rPr>
        <w:t>o</w:t>
      </w:r>
      <w:r w:rsidRPr="00A15FBE">
        <w:rPr>
          <w:rFonts w:ascii="Times New Roman" w:hAnsi="Times New Roman"/>
        </w:rPr>
        <w:t xml:space="preserve"> 81/2024 (PGESP), com base na mesma </w:t>
      </w:r>
      <w:proofErr w:type="spellStart"/>
      <w:r w:rsidRPr="00A15FBE">
        <w:rPr>
          <w:rFonts w:ascii="Times New Roman" w:hAnsi="Times New Roman"/>
          <w:i/>
        </w:rPr>
        <w:t>ratio</w:t>
      </w:r>
      <w:proofErr w:type="spellEnd"/>
      <w:r w:rsidRPr="00A15FBE">
        <w:rPr>
          <w:rFonts w:ascii="Times New Roman" w:hAnsi="Times New Roman"/>
        </w:rPr>
        <w:t xml:space="preserve"> incidente </w:t>
      </w:r>
      <w:r w:rsidRPr="00A15FBE">
        <w:rPr>
          <w:rFonts w:ascii="Times New Roman" w:hAnsi="Times New Roman"/>
        </w:rPr>
        <w:t>e https://www.portal.pge.sp.gov.br/wp-content/uploads/2024/02/3a-versao-orientacoes-consolidadas-nllc-compactado.pdf.</w:t>
      </w:r>
    </w:p>
  </w:footnote>
  <w:footnote w:id="27">
    <w:p w14:paraId="355F7DD9" w14:textId="77777777" w:rsidR="00FE013F" w:rsidRDefault="00A15FBE">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Art. 6º, inciso X, da Lei 14.133/2021 – “compra: aquisição remunerada de bens para fornecimento de uma só vez ou parceladamente, considerada imediata aquela com prazo de entrega de até 30 (trinta) dias da ordem de fornecimento”.</w:t>
      </w:r>
    </w:p>
  </w:footnote>
  <w:footnote w:id="28">
    <w:p w14:paraId="2B6BBC6F"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2 vezes o valor para di</w:t>
      </w:r>
      <w:r>
        <w:rPr>
          <w:rFonts w:ascii="Times New Roman" w:hAnsi="Times New Roman"/>
          <w:color w:val="000000"/>
        </w:rPr>
        <w:t>spensas de licitação dos incisos I e II do artigo 75 da Lei nº 14.133/2021, atualizados, cf. Decreto nº 12.343/2024 (valor a ser atualizado anualmente).</w:t>
      </w:r>
    </w:p>
  </w:footnote>
  <w:footnote w:id="29">
    <w:p w14:paraId="5F28B68E" w14:textId="77777777" w:rsidR="00FE013F" w:rsidRDefault="00A15FBE">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Portaria PG nº 13/2024 - https://pgusp.usp.br/wp-content/uploads/Portaria-PG-13-de-30-de-julho-de-202</w:t>
      </w:r>
      <w:r>
        <w:rPr>
          <w:rFonts w:ascii="Times New Roman" w:hAnsi="Times New Roman"/>
          <w:color w:val="000000"/>
        </w:rPr>
        <w:t>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3E5B" w14:textId="77777777" w:rsidR="00FE013F" w:rsidRDefault="00A15FBE">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r>
      <w:rPr>
        <w:rFonts w:ascii="Times New Roman" w:hAnsi="Times New Roman"/>
        <w:color w:val="000000"/>
      </w:rPr>
      <w:t>V 01.2025 – Art. 74, inciso II, dispensa de trâmite PG</w:t>
    </w:r>
  </w:p>
  <w:p w14:paraId="07E32179" w14:textId="77777777" w:rsidR="00FE013F" w:rsidRDefault="00FE013F">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5F2B"/>
    <w:multiLevelType w:val="multilevel"/>
    <w:tmpl w:val="905235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3F"/>
    <w:rsid w:val="00A15FBE"/>
    <w:rsid w:val="00FE0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54C4"/>
  <w15:docId w15:val="{262B771A-EAFC-421D-8D4F-0E8AAFE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Tms Rmn" w:hAnsi="Tms Rmn"/>
      <w:position w:val="-1"/>
    </w:rPr>
  </w:style>
  <w:style w:type="paragraph" w:styleId="Ttulo1">
    <w:name w:val="heading 1"/>
    <w:basedOn w:val="Normal"/>
    <w:next w:val="Normal"/>
    <w:uiPriority w:val="9"/>
    <w:qFormat/>
    <w:pPr>
      <w:keepNext/>
      <w:spacing w:after="960" w:line="480" w:lineRule="atLeast"/>
      <w:jc w:val="center"/>
    </w:pPr>
    <w:rPr>
      <w:rFonts w:ascii="Arial" w:hAnsi="Arial"/>
      <w:b/>
      <w:spacing w:val="60"/>
      <w:sz w:val="36"/>
    </w:rPr>
  </w:style>
  <w:style w:type="paragraph" w:styleId="Ttulo2">
    <w:name w:val="heading 2"/>
    <w:basedOn w:val="Normal"/>
    <w:next w:val="Normal"/>
    <w:uiPriority w:val="9"/>
    <w:semiHidden/>
    <w:unhideWhenUsed/>
    <w:qFormat/>
    <w:pPr>
      <w:keepNext/>
      <w:spacing w:line="480" w:lineRule="atLeast"/>
      <w:outlineLvl w:val="1"/>
    </w:pPr>
    <w:rPr>
      <w:rFonts w:ascii="Arial" w:hAnsi="Arial"/>
      <w:sz w:val="28"/>
    </w:rPr>
  </w:style>
  <w:style w:type="paragraph" w:styleId="Ttulo3">
    <w:name w:val="heading 3"/>
    <w:basedOn w:val="Normal"/>
    <w:next w:val="Normal"/>
    <w:uiPriority w:val="9"/>
    <w:semiHidden/>
    <w:unhideWhenUsed/>
    <w:qFormat/>
    <w:pPr>
      <w:keepNext/>
      <w:spacing w:line="240" w:lineRule="atLeast"/>
      <w:outlineLvl w:val="2"/>
    </w:pPr>
    <w:rPr>
      <w:rFonts w:ascii="Arial" w:hAnsi="Arial"/>
      <w:sz w:val="24"/>
    </w:rPr>
  </w:style>
  <w:style w:type="paragraph" w:styleId="Ttulo4">
    <w:name w:val="heading 4"/>
    <w:basedOn w:val="Normal"/>
    <w:next w:val="Normal"/>
    <w:uiPriority w:val="9"/>
    <w:semiHidden/>
    <w:unhideWhenUsed/>
    <w:qFormat/>
    <w:pPr>
      <w:keepNext/>
      <w:spacing w:after="600" w:line="480" w:lineRule="atLeast"/>
      <w:ind w:firstLine="3402"/>
      <w:outlineLvl w:val="3"/>
    </w:pPr>
    <w:rPr>
      <w:rFonts w:ascii="Arial" w:hAnsi="Arial"/>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spacing w:line="360" w:lineRule="auto"/>
      <w:jc w:val="center"/>
      <w:outlineLvl w:val="5"/>
    </w:pPr>
    <w:rPr>
      <w:rFonts w:ascii="Arial" w:hAnsi="Arial"/>
      <w:sz w:val="24"/>
    </w:rPr>
  </w:style>
  <w:style w:type="paragraph" w:styleId="Ttulo7">
    <w:name w:val="heading 7"/>
    <w:basedOn w:val="Normal"/>
    <w:next w:val="Normal"/>
    <w:pPr>
      <w:keepNext/>
      <w:spacing w:after="120"/>
      <w:ind w:left="3969"/>
      <w:jc w:val="both"/>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customStyle="1" w:styleId="CabealhoChar">
    <w:name w:val="Cabeçalho Char"/>
    <w:rPr>
      <w:rFonts w:ascii="Arial" w:hAnsi="Arial"/>
      <w:w w:val="100"/>
      <w:position w:val="-1"/>
      <w:sz w:val="24"/>
      <w:szCs w:val="24"/>
      <w:effect w:val="none"/>
      <w:vertAlign w:val="baseline"/>
      <w:cs w:val="0"/>
      <w:em w:val="none"/>
      <w:lang w:val="pt-BR" w:eastAsia="pt-BR" w:bidi="ar-SA"/>
    </w:rPr>
  </w:style>
  <w:style w:type="paragraph" w:styleId="Recuodecorpodetexto">
    <w:name w:val="Body Text Indent"/>
    <w:basedOn w:val="Normal"/>
    <w:pPr>
      <w:spacing w:line="480" w:lineRule="auto"/>
      <w:ind w:firstLine="3402"/>
      <w:jc w:val="both"/>
    </w:pPr>
    <w:rPr>
      <w:rFonts w:ascii="Arial" w:hAnsi="Arial"/>
      <w:sz w:val="24"/>
    </w:rPr>
  </w:style>
  <w:style w:type="paragraph" w:styleId="Recuodecorpodetexto2">
    <w:name w:val="Body Text Indent 2"/>
    <w:basedOn w:val="Normal"/>
    <w:pPr>
      <w:spacing w:after="480" w:line="240" w:lineRule="atLeast"/>
      <w:ind w:left="3969"/>
      <w:jc w:val="both"/>
    </w:pPr>
    <w:rPr>
      <w:rFonts w:ascii="Arial" w:hAnsi="Arial"/>
      <w:sz w:val="24"/>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merodepgina">
    <w:name w:val="page number"/>
    <w:basedOn w:val="Fontepargpadro"/>
    <w:rPr>
      <w:w w:val="100"/>
      <w:position w:val="-1"/>
      <w:effect w:val="none"/>
      <w:vertAlign w:val="baseline"/>
      <w:cs w:val="0"/>
      <w:em w:val="none"/>
    </w:r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Textodebalo">
    <w:name w:val="Balloon Text"/>
    <w:basedOn w:val="Normal"/>
    <w:rPr>
      <w:rFonts w:ascii="Tahoma" w:hAnsi="Tahoma" w:cs="Tahoma"/>
      <w:sz w:val="16"/>
      <w:szCs w:val="16"/>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rPr>
      <w:rFonts w:ascii="Tms Rmn" w:hAnsi="Tms Rmn"/>
      <w:w w:val="100"/>
      <w:position w:val="-1"/>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character" w:customStyle="1" w:styleId="TextodenotaderodapChar">
    <w:name w:val="Texto de nota de rodapé Char"/>
    <w:rPr>
      <w:rFonts w:ascii="Tms Rmn" w:hAnsi="Tms Rmn"/>
      <w:w w:val="100"/>
      <w:position w:val="-1"/>
      <w:effect w:val="none"/>
      <w:vertAlign w:val="baseline"/>
      <w:cs w:val="0"/>
      <w:em w:val="none"/>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style>
  <w:style w:type="character" w:customStyle="1" w:styleId="TextodecomentrioChar">
    <w:name w:val="Texto de comentário Char"/>
    <w:rPr>
      <w:rFonts w:ascii="Tms Rmn" w:hAnsi="Tms Rmn"/>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ms Rmn" w:hAnsi="Tms Rmn"/>
      <w:b/>
      <w:bCs/>
      <w:w w:val="100"/>
      <w:position w:val="-1"/>
      <w:effect w:val="none"/>
      <w:vertAlign w:val="baseline"/>
      <w:cs w:val="0"/>
      <w:em w:val="none"/>
    </w:rPr>
  </w:style>
  <w:style w:type="paragraph" w:styleId="PargrafodaLista">
    <w:name w:val="List Paragraph"/>
    <w:basedOn w:val="Normal"/>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6Q+gy7JG83qhzAzX3gdzDRmH5Q==">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1744</Words>
  <Characters>9418</Characters>
  <Application>Microsoft Office Word</Application>
  <DocSecurity>4</DocSecurity>
  <Lines>78</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Gustavo</dc:creator>
  <cp:lastModifiedBy>Autor</cp:lastModifiedBy>
  <cp:revision>2</cp:revision>
  <dcterms:created xsi:type="dcterms:W3CDTF">2025-01-30T19:10:00Z</dcterms:created>
  <dcterms:modified xsi:type="dcterms:W3CDTF">2025-01-30T19:10:00Z</dcterms:modified>
</cp:coreProperties>
</file>