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5D49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Processo SEI nº _______________________</w:t>
      </w:r>
    </w:p>
    <w:p w14:paraId="45146F9E" w14:textId="77777777" w:rsidR="00254DFE" w:rsidRDefault="00254D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C0ADFC8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RELATÓRIO DE VERIFICAÇÃO - INEXIGIBILIDADE </w:t>
      </w:r>
    </w:p>
    <w:p w14:paraId="0837DE44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ARTIGO 74, “CAPUT” e INCISO I, LEI 14.133/2021</w:t>
      </w:r>
    </w:p>
    <w:p w14:paraId="62568BAD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INVIABILIDADE DE COMPETIÇÃO OU FORNECEDOR EXCLUSIVO</w:t>
      </w:r>
    </w:p>
    <w:p w14:paraId="2D3955CC" w14:textId="77777777" w:rsidR="00254DFE" w:rsidRDefault="00254D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B9D46CF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Unidade/Órgão: __________________________________________________</w:t>
      </w:r>
    </w:p>
    <w:p w14:paraId="2BB2228E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Interessado: _____________________________________________________</w:t>
      </w:r>
    </w:p>
    <w:p w14:paraId="6BE473A1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Objeto: ________________________________________________________</w:t>
      </w:r>
    </w:p>
    <w:p w14:paraId="3634E3B8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Valor: R$ ____________  </w:t>
      </w:r>
    </w:p>
    <w:p w14:paraId="2610E9FB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Fundamento legal: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74,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caput </w:t>
      </w:r>
      <w:r>
        <w:rPr>
          <w:rFonts w:ascii="Arial" w:eastAsia="Arial" w:hAnsi="Arial" w:cs="Arial"/>
          <w:b/>
          <w:color w:val="000000"/>
          <w:sz w:val="24"/>
          <w:szCs w:val="24"/>
        </w:rPr>
        <w:t>ou inciso I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>da Lei n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14.133/2021</w:t>
      </w:r>
    </w:p>
    <w:p w14:paraId="71ECF761" w14:textId="77777777" w:rsidR="00254DFE" w:rsidRDefault="00254DFE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2ADB4318" w14:textId="77777777" w:rsidR="00254DFE" w:rsidRDefault="00C8650E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114300" distR="114300" wp14:anchorId="5E73FC71" wp14:editId="22A87244">
            <wp:extent cx="5389245" cy="302641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3026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A9B720" w14:textId="77777777" w:rsidR="00254DFE" w:rsidRDefault="00254DFE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6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544"/>
        <w:gridCol w:w="4819"/>
      </w:tblGrid>
      <w:tr w:rsidR="00254DFE" w14:paraId="61F9A00C" w14:textId="77777777">
        <w:trPr>
          <w:trHeight w:val="435"/>
        </w:trPr>
        <w:tc>
          <w:tcPr>
            <w:tcW w:w="8613" w:type="dxa"/>
            <w:gridSpan w:val="3"/>
            <w:vAlign w:val="center"/>
          </w:tcPr>
          <w:p w14:paraId="61E3246F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 Autorização da autoridade competente para início da fase preparatória - Fls. _____</w:t>
            </w:r>
          </w:p>
        </w:tc>
      </w:tr>
      <w:tr w:rsidR="00254DFE" w14:paraId="3E7E4768" w14:textId="77777777">
        <w:trPr>
          <w:trHeight w:val="427"/>
        </w:trPr>
        <w:tc>
          <w:tcPr>
            <w:tcW w:w="3794" w:type="dxa"/>
            <w:gridSpan w:val="2"/>
            <w:tcBorders>
              <w:bottom w:val="single" w:sz="4" w:space="0" w:color="000000"/>
            </w:tcBorders>
            <w:vAlign w:val="center"/>
          </w:tcPr>
          <w:p w14:paraId="407DD183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Competência</w:t>
            </w:r>
          </w:p>
        </w:tc>
        <w:tc>
          <w:tcPr>
            <w:tcW w:w="4819" w:type="dxa"/>
            <w:vAlign w:val="center"/>
          </w:tcPr>
          <w:p w14:paraId="35DB70AC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Fundamento</w:t>
            </w:r>
          </w:p>
        </w:tc>
      </w:tr>
      <w:tr w:rsidR="00254DFE" w14:paraId="5EE12A9F" w14:textId="77777777">
        <w:trPr>
          <w:trHeight w:val="768"/>
        </w:trPr>
        <w:tc>
          <w:tcPr>
            <w:tcW w:w="250" w:type="dxa"/>
            <w:tcBorders>
              <w:bottom w:val="single" w:sz="4" w:space="0" w:color="000000"/>
              <w:right w:val="nil"/>
            </w:tcBorders>
            <w:vAlign w:val="center"/>
          </w:tcPr>
          <w:p w14:paraId="0D864138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000000"/>
            </w:tcBorders>
            <w:vAlign w:val="center"/>
          </w:tcPr>
          <w:p w14:paraId="7280AC0D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Dirigentes de Unidades e Órgãos. </w:t>
            </w:r>
          </w:p>
        </w:tc>
        <w:tc>
          <w:tcPr>
            <w:tcW w:w="4819" w:type="dxa"/>
            <w:vAlign w:val="center"/>
          </w:tcPr>
          <w:p w14:paraId="4D555D17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Art. 1º, inciso I, alínea “a”, Portaria GR nº 8.321/2024</w:t>
            </w:r>
          </w:p>
        </w:tc>
      </w:tr>
    </w:tbl>
    <w:p w14:paraId="7F2D0BD8" w14:textId="77777777" w:rsidR="00254DFE" w:rsidRDefault="00254DFE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9"/>
        <w:gridCol w:w="1611"/>
        <w:gridCol w:w="1540"/>
      </w:tblGrid>
      <w:tr w:rsidR="00254DFE" w14:paraId="7C9135FE" w14:textId="77777777"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4FA6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 Documentação e informações iniciais</w:t>
            </w:r>
          </w:p>
        </w:tc>
      </w:tr>
      <w:tr w:rsidR="00254DFE" w14:paraId="5339F11B" w14:textId="77777777">
        <w:tc>
          <w:tcPr>
            <w:tcW w:w="5569" w:type="dxa"/>
            <w:vAlign w:val="center"/>
          </w:tcPr>
          <w:p w14:paraId="69D1554B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2.a – Abertura de processo administrativo, em forma eletrônica (SEI/SP)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151" w:type="dxa"/>
            <w:gridSpan w:val="2"/>
            <w:vAlign w:val="center"/>
          </w:tcPr>
          <w:p w14:paraId="1EC2208C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676FD5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Data __/__/____</w:t>
            </w:r>
          </w:p>
        </w:tc>
      </w:tr>
      <w:tr w:rsidR="00254DFE" w14:paraId="518C55AC" w14:textId="77777777">
        <w:tc>
          <w:tcPr>
            <w:tcW w:w="5569" w:type="dxa"/>
            <w:vAlign w:val="center"/>
          </w:tcPr>
          <w:p w14:paraId="70E37185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2.b – Designação dos agentes públicos responsáveis pela contratação, execução e fiscalização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(verificar regulamento USP)</w:t>
            </w:r>
          </w:p>
        </w:tc>
        <w:tc>
          <w:tcPr>
            <w:tcW w:w="3151" w:type="dxa"/>
            <w:gridSpan w:val="2"/>
            <w:vAlign w:val="center"/>
          </w:tcPr>
          <w:p w14:paraId="6086FDEA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C7EAED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________</w:t>
            </w:r>
          </w:p>
        </w:tc>
      </w:tr>
      <w:tr w:rsidR="00254DFE" w14:paraId="27D7AF83" w14:textId="77777777">
        <w:tc>
          <w:tcPr>
            <w:tcW w:w="5569" w:type="dxa"/>
            <w:vAlign w:val="center"/>
          </w:tcPr>
          <w:p w14:paraId="0FBF7D95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2.c – Documento de formalização de demanda (DFD)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51" w:type="dxa"/>
            <w:gridSpan w:val="2"/>
            <w:vAlign w:val="center"/>
          </w:tcPr>
          <w:p w14:paraId="4041654A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________</w:t>
            </w:r>
          </w:p>
        </w:tc>
      </w:tr>
      <w:tr w:rsidR="00254DFE" w14:paraId="2638E170" w14:textId="77777777">
        <w:tc>
          <w:tcPr>
            <w:tcW w:w="5569" w:type="dxa"/>
            <w:vAlign w:val="center"/>
          </w:tcPr>
          <w:p w14:paraId="1874F016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2.d – se for o caso,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Estudo Técnico Preliminar (ETP)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sz w:val="24"/>
                <w:szCs w:val="24"/>
              </w:rPr>
              <w:t>, contendo pelo menos:</w:t>
            </w:r>
          </w:p>
          <w:p w14:paraId="592B3802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(i) descrição da necessidade/problema a ser resolvido; </w:t>
            </w:r>
          </w:p>
          <w:p w14:paraId="6A109185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estimativa do quantitativo; </w:t>
            </w:r>
          </w:p>
          <w:p w14:paraId="18AB91A2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estimativa do valor; </w:t>
            </w:r>
          </w:p>
          <w:p w14:paraId="08FEA010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manifestação sobre parcelamento; </w:t>
            </w:r>
          </w:p>
          <w:p w14:paraId="2B4F3FBC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(v) conclusão sobre a adequação da contrata</w:t>
            </w:r>
            <w:r>
              <w:rPr>
                <w:rFonts w:ascii="Arial" w:eastAsia="Arial" w:hAnsi="Arial" w:cs="Arial"/>
                <w:sz w:val="24"/>
                <w:szCs w:val="24"/>
              </w:rPr>
              <w:t>ção para a necessidade a que se destina; e</w:t>
            </w:r>
          </w:p>
          <w:p w14:paraId="1A4CD26F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(vi) caso aplicável, justificativa pela ausência dos demais itens não obrigatórios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611" w:type="dxa"/>
            <w:vAlign w:val="center"/>
          </w:tcPr>
          <w:p w14:paraId="1031BC93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1C1B7B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Sim/Não*</w:t>
            </w:r>
          </w:p>
          <w:p w14:paraId="545733D8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6CD078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864DC1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61CDDE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236E94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*Em caso de “não”, justificar</w:t>
            </w:r>
          </w:p>
        </w:tc>
        <w:tc>
          <w:tcPr>
            <w:tcW w:w="1540" w:type="dxa"/>
            <w:vAlign w:val="center"/>
          </w:tcPr>
          <w:p w14:paraId="5155EEB1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8B2EEB7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  <w:p w14:paraId="337CCA55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6AEF47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6A4CD1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118F1F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AC5DA7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917B6D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  <w:tr w:rsidR="00254DFE" w14:paraId="61BD00D7" w14:textId="77777777">
        <w:tc>
          <w:tcPr>
            <w:tcW w:w="5569" w:type="dxa"/>
            <w:vAlign w:val="center"/>
          </w:tcPr>
          <w:p w14:paraId="6F2D3B2F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2.e – se for o caso,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Análise de Riscos</w:t>
            </w:r>
          </w:p>
          <w:p w14:paraId="35446E70" w14:textId="77777777" w:rsidR="00254DFE" w:rsidRDefault="00254DF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1D4D9BFA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540" w:type="dxa"/>
            <w:vAlign w:val="center"/>
          </w:tcPr>
          <w:p w14:paraId="45657EC4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  <w:tr w:rsidR="00254DFE" w14:paraId="152CC3E6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1791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2.f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Termo de Referência (TR),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Projeto Básico ou Projeto Executivo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6"/>
            </w:r>
          </w:p>
          <w:p w14:paraId="7252D8E2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2.f.a. Utilizou-se o modelo padronizado de TR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53AE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</w:t>
            </w:r>
          </w:p>
          <w:p w14:paraId="0432248A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B06C05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</w:tr>
      <w:tr w:rsidR="00254DFE" w14:paraId="3E4930B6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1E5A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2.g – Documento da Reserva ou demonstração da compatibilidade da previsão de recursos orçamentários com a despesa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8"/>
            </w:r>
          </w:p>
          <w:p w14:paraId="28ED4DB2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 Em caso de utilização de registro de preços do sistema de compras do Gov. Federal, o documento da reserva somente será exigido para for</w:t>
            </w:r>
            <w:r>
              <w:rPr>
                <w:rFonts w:ascii="Arial" w:eastAsia="Arial" w:hAnsi="Arial" w:cs="Arial"/>
                <w:sz w:val="24"/>
                <w:szCs w:val="24"/>
              </w:rPr>
              <w:t>malização do contrato ou outro instrumento hábil.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67D4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F268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</w:tbl>
    <w:p w14:paraId="18DE810C" w14:textId="77777777" w:rsidR="00254DFE" w:rsidRDefault="00254DFE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2B09756A" w14:textId="4AA45422" w:rsidR="00C8650E" w:rsidRDefault="00C8650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1D3C858E" w14:textId="77777777" w:rsidR="00254DFE" w:rsidRDefault="00254DFE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87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6607"/>
        <w:gridCol w:w="1559"/>
      </w:tblGrid>
      <w:tr w:rsidR="00254DFE" w14:paraId="440BFE4A" w14:textId="77777777">
        <w:tc>
          <w:tcPr>
            <w:tcW w:w="7196" w:type="dxa"/>
            <w:gridSpan w:val="2"/>
            <w:vAlign w:val="center"/>
          </w:tcPr>
          <w:p w14:paraId="24EA24FF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3. Caracterização da hipótese legal </w:t>
            </w:r>
          </w:p>
        </w:tc>
        <w:tc>
          <w:tcPr>
            <w:tcW w:w="1559" w:type="dxa"/>
            <w:vAlign w:val="center"/>
          </w:tcPr>
          <w:p w14:paraId="459A1B09" w14:textId="77777777" w:rsidR="00254DFE" w:rsidRDefault="00C8650E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Fls. ______</w:t>
            </w:r>
          </w:p>
        </w:tc>
      </w:tr>
      <w:tr w:rsidR="00254DFE" w14:paraId="227063BE" w14:textId="77777777">
        <w:trPr>
          <w:cantSplit/>
        </w:trPr>
        <w:tc>
          <w:tcPr>
            <w:tcW w:w="588" w:type="dxa"/>
            <w:vMerge w:val="restart"/>
            <w:vAlign w:val="center"/>
          </w:tcPr>
          <w:p w14:paraId="1B272471" w14:textId="77777777" w:rsidR="00254DFE" w:rsidRDefault="00C8650E">
            <w:pPr>
              <w:spacing w:before="80" w:after="80"/>
              <w:ind w:left="0" w:right="113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JUSTIFICATIVAS</w:t>
            </w:r>
          </w:p>
        </w:tc>
        <w:tc>
          <w:tcPr>
            <w:tcW w:w="6608" w:type="dxa"/>
            <w:vAlign w:val="center"/>
          </w:tcPr>
          <w:p w14:paraId="47ADC86F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3.a – Interesse público: </w:t>
            </w:r>
            <w:r>
              <w:rPr>
                <w:rFonts w:ascii="Arial" w:eastAsia="Arial" w:hAnsi="Arial" w:cs="Arial"/>
                <w:sz w:val="22"/>
                <w:szCs w:val="22"/>
              </w:rPr>
              <w:t>peculiaridades da atividade que justifiquem a aquisição de bem/serviço com características específicas;</w:t>
            </w:r>
          </w:p>
        </w:tc>
        <w:tc>
          <w:tcPr>
            <w:tcW w:w="1559" w:type="dxa"/>
            <w:vAlign w:val="center"/>
          </w:tcPr>
          <w:p w14:paraId="70EF2BCE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</w:tc>
      </w:tr>
      <w:tr w:rsidR="00254DFE" w14:paraId="2099F06C" w14:textId="77777777">
        <w:trPr>
          <w:cantSplit/>
        </w:trPr>
        <w:tc>
          <w:tcPr>
            <w:tcW w:w="588" w:type="dxa"/>
            <w:vMerge/>
            <w:vAlign w:val="center"/>
          </w:tcPr>
          <w:p w14:paraId="4CAF24B3" w14:textId="77777777" w:rsidR="00254DFE" w:rsidRDefault="00254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14:paraId="761FB51A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3.b – Escolha do produto/serviço: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objeto da contratação possui as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características específicas necessárias para atender o interesse públic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, as quais não são encontradas em produtos/serviços similares;</w:t>
            </w:r>
          </w:p>
        </w:tc>
        <w:tc>
          <w:tcPr>
            <w:tcW w:w="1559" w:type="dxa"/>
            <w:vAlign w:val="center"/>
          </w:tcPr>
          <w:p w14:paraId="39738AA0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</w:tc>
      </w:tr>
      <w:tr w:rsidR="00254DFE" w14:paraId="27DE3D0C" w14:textId="77777777">
        <w:trPr>
          <w:cantSplit/>
        </w:trPr>
        <w:tc>
          <w:tcPr>
            <w:tcW w:w="588" w:type="dxa"/>
            <w:vMerge/>
            <w:vAlign w:val="center"/>
          </w:tcPr>
          <w:p w14:paraId="4CA91FF9" w14:textId="77777777" w:rsidR="00254DFE" w:rsidRDefault="00254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14:paraId="0F3C6AE7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3.c – Manifestação técnica contendo outros elementos fáticos que demonstrem a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inviabilidade de competição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</w:p>
        </w:tc>
        <w:tc>
          <w:tcPr>
            <w:tcW w:w="1559" w:type="dxa"/>
            <w:vAlign w:val="center"/>
          </w:tcPr>
          <w:p w14:paraId="1BDDD26C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</w:tc>
      </w:tr>
      <w:tr w:rsidR="00254DFE" w14:paraId="2FAFBAD8" w14:textId="77777777">
        <w:trPr>
          <w:cantSplit/>
        </w:trPr>
        <w:tc>
          <w:tcPr>
            <w:tcW w:w="588" w:type="dxa"/>
            <w:vMerge/>
            <w:vAlign w:val="center"/>
          </w:tcPr>
          <w:p w14:paraId="13D8B799" w14:textId="77777777" w:rsidR="00254DFE" w:rsidRDefault="00254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14:paraId="7C0831EF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3.d – Escolha do fornecedor (exclusividade): </w:t>
            </w:r>
            <w:r>
              <w:rPr>
                <w:rFonts w:ascii="Arial" w:eastAsia="Arial" w:hAnsi="Arial" w:cs="Arial"/>
                <w:sz w:val="22"/>
                <w:szCs w:val="22"/>
              </w:rPr>
              <w:t>o objeto da contratação só pode ser adquirido diretamente do fornecedor estrangeiro/nacional.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170975B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*Na hipótese de fornecedor exclusivo (Art. 74, inciso I, da Lei 14.133/2021), juntar comprovação da inviabilidade 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competição mediante atestado/contrato/declaração de exclusividade ou outro documento idôneo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10"/>
            </w:r>
          </w:p>
        </w:tc>
        <w:tc>
          <w:tcPr>
            <w:tcW w:w="1559" w:type="dxa"/>
            <w:vAlign w:val="center"/>
          </w:tcPr>
          <w:p w14:paraId="376B6FE0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</w:tc>
      </w:tr>
    </w:tbl>
    <w:p w14:paraId="039FBB7A" w14:textId="77777777" w:rsidR="00254DFE" w:rsidRDefault="00254DFE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21E7E3FB" w14:textId="77777777" w:rsidR="00254DFE" w:rsidRDefault="00254DFE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7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254DFE" w14:paraId="2470DEFF" w14:textId="77777777">
        <w:trPr>
          <w:trHeight w:val="340"/>
        </w:trPr>
        <w:tc>
          <w:tcPr>
            <w:tcW w:w="8721" w:type="dxa"/>
            <w:vAlign w:val="center"/>
          </w:tcPr>
          <w:p w14:paraId="5821D18C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 Valor estimado e Justificativa de Preços - Fls. _________</w:t>
            </w:r>
          </w:p>
        </w:tc>
      </w:tr>
      <w:tr w:rsidR="00254DFE" w14:paraId="16D8EC24" w14:textId="77777777">
        <w:trPr>
          <w:trHeight w:val="2199"/>
        </w:trPr>
        <w:tc>
          <w:tcPr>
            <w:tcW w:w="8721" w:type="dxa"/>
            <w:vAlign w:val="center"/>
          </w:tcPr>
          <w:p w14:paraId="1927AF23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Mesmo nos casos de inviabilidade de competição, em atenção ao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artigo 72, VII, da Lei nº 14.133/2021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é necessária uma análise econômica do valor da contratação, de modo a demonstrar que o preço é razoável, compatível com o mercado</w:t>
            </w:r>
            <w:r>
              <w:rPr>
                <w:rFonts w:ascii="Arial" w:eastAsia="Arial" w:hAnsi="Arial" w:cs="Arial"/>
                <w:sz w:val="22"/>
                <w:szCs w:val="22"/>
              </w:rPr>
              <w:t>, seguindo os parâmetros 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stabelecidos no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art. 23, parágrafos 1º ao 4º, da mesma lei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27684AB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Decreto Estadual n</w:t>
            </w: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67.888/2023:</w:t>
            </w:r>
          </w:p>
          <w:p w14:paraId="37CC5B61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 valor estimado da contratação deverá ser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compatível com os valores praticados pelo mercado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observadas as condições comerciais praticadas, incluindo prazos e locais de entrega, condições de execução, quantidade, fretes, formas e prazos de pagamento, garantias etc., levando-se em conta a potencial economia de escala e as peculiaridades do local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de execução do objeto. </w:t>
            </w:r>
          </w:p>
          <w:p w14:paraId="35DA681D" w14:textId="77777777" w:rsidR="00254DFE" w:rsidRDefault="00254DF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4DFE" w14:paraId="3EBBE0FA" w14:textId="77777777">
        <w:trPr>
          <w:trHeight w:val="6511"/>
        </w:trPr>
        <w:tc>
          <w:tcPr>
            <w:tcW w:w="8721" w:type="dxa"/>
            <w:vAlign w:val="center"/>
          </w:tcPr>
          <w:p w14:paraId="1AE7DF1F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4.1.   Parâmetros utilizados para aferição do melhor preço estimado (artigo 3º, do Decreto Estadual n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67.888/2023)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1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4C676B06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composição de custos unitários menores ou iguais à mediana do item nos sistemas oficiais de governo; </w:t>
            </w:r>
          </w:p>
          <w:p w14:paraId="368198F3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contratações similares feitas pela Administração Pública, em execução ou concluídas no período de 1 ano anterior à data de pesquisa; </w:t>
            </w:r>
          </w:p>
          <w:p w14:paraId="24D57EF7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dados de pesquisa publicada em mídia especializada, de tabela de referência formalmente aprovada pelo Poder Executivo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federal ou estadual e de sítios eletrônicos especializados ou de domínio amplo, desde que atualizados e com antecedência de 6 meses da data de divulgação do aviso de contratação direta; </w:t>
            </w:r>
          </w:p>
          <w:p w14:paraId="2D7497A8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direta com, no mínimo, 3 fornecedores, com solicitação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formal de cotação e justificativa da escolha desses fornecedores, observada a antecedência de 6 meses da data de divulgação do aviso de contratação direta; </w:t>
            </w:r>
          </w:p>
          <w:p w14:paraId="6CEADE45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na base nacional de notas fiscais eletrônicas e/ou em bases do Estado de São Paulo,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com datas compreendidas no período de até 1 ano anterior à data de divulgação do aviso de contratação direta. </w:t>
            </w:r>
          </w:p>
          <w:p w14:paraId="095DFFE5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*Caso não seja possível estimar o valor com base nos parâmetros acima, </w:t>
            </w:r>
          </w:p>
          <w:p w14:paraId="762EAD5C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valores de contratações de objetos idênticos, comercializados pela f</w:t>
            </w:r>
            <w:r>
              <w:rPr>
                <w:rFonts w:ascii="Arial" w:eastAsia="Arial" w:hAnsi="Arial" w:cs="Arial"/>
                <w:sz w:val="22"/>
                <w:szCs w:val="22"/>
              </w:rPr>
              <w:t>utura contratada, por meio da apresentação de notas fiscais emitidas para outros contratantes, públicos ou privados, no período de até 1 (um) ano anterior à data da contratação pela Administração, ou por outro meio idôneo.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12"/>
            </w:r>
          </w:p>
          <w:p w14:paraId="77BD92F6" w14:textId="77777777" w:rsidR="00254DFE" w:rsidRDefault="00254DF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4DFE" w14:paraId="5481894E" w14:textId="77777777">
        <w:trPr>
          <w:trHeight w:val="3318"/>
        </w:trPr>
        <w:tc>
          <w:tcPr>
            <w:tcW w:w="8721" w:type="dxa"/>
            <w:vAlign w:val="center"/>
          </w:tcPr>
          <w:p w14:paraId="48B2A92B" w14:textId="77777777" w:rsidR="00254DFE" w:rsidRDefault="00C8650E">
            <w:pPr>
              <w:spacing w:before="80" w:after="8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4.2.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 de preços (fls. _______)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deverá ser formalizada, redigida e assinada pelo servidor/equipe responsável pela pesquisa, com a análise econômica do valor estimado, contendo, ao menos, as seguintes informações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3"/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0910A201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descrição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do objeto a ser con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tratado; </w:t>
            </w:r>
          </w:p>
          <w:p w14:paraId="5E23A97F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caracterização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das fontes consultadas; </w:t>
            </w:r>
          </w:p>
          <w:p w14:paraId="192A62A1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III - série de preços coletados; </w:t>
            </w:r>
          </w:p>
          <w:p w14:paraId="0A1666C6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IV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método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matemático aplicado para a definição do valor estimado, com a respectiva justificativa; </w:t>
            </w:r>
          </w:p>
          <w:p w14:paraId="18717AD2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memória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 cálculo do valor estimado e documentos que lhe dão </w:t>
            </w:r>
            <w:r>
              <w:rPr>
                <w:rFonts w:ascii="Arial" w:eastAsia="Arial" w:hAnsi="Arial" w:cs="Arial"/>
                <w:sz w:val="22"/>
                <w:szCs w:val="22"/>
              </w:rPr>
              <w:t>suporte.</w:t>
            </w:r>
          </w:p>
        </w:tc>
      </w:tr>
    </w:tbl>
    <w:p w14:paraId="087D45F6" w14:textId="672DD481" w:rsidR="00254DFE" w:rsidRDefault="00254DFE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86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9"/>
        <w:gridCol w:w="1483"/>
      </w:tblGrid>
      <w:tr w:rsidR="00254DFE" w14:paraId="75EAC9C1" w14:textId="77777777">
        <w:trPr>
          <w:trHeight w:val="437"/>
        </w:trPr>
        <w:tc>
          <w:tcPr>
            <w:tcW w:w="8692" w:type="dxa"/>
            <w:gridSpan w:val="2"/>
            <w:vAlign w:val="center"/>
          </w:tcPr>
          <w:p w14:paraId="1A136A89" w14:textId="77777777" w:rsidR="00254DFE" w:rsidRDefault="00C8650E">
            <w:pPr>
              <w:tabs>
                <w:tab w:val="left" w:pos="6221"/>
              </w:tabs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 Habilitação e Regularidade da Contratada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4"/>
            </w:r>
          </w:p>
        </w:tc>
      </w:tr>
      <w:tr w:rsidR="00254DFE" w14:paraId="15CABA28" w14:textId="77777777">
        <w:trPr>
          <w:trHeight w:val="982"/>
        </w:trPr>
        <w:tc>
          <w:tcPr>
            <w:tcW w:w="8692" w:type="dxa"/>
            <w:gridSpan w:val="2"/>
            <w:vAlign w:val="center"/>
          </w:tcPr>
          <w:p w14:paraId="4B4AF5F6" w14:textId="77777777" w:rsidR="00254DFE" w:rsidRDefault="00C8650E">
            <w:pPr>
              <w:tabs>
                <w:tab w:val="left" w:pos="6221"/>
              </w:tabs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5.1.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No caso de contratação celebrada diretamente com entidade estrangeira que não atua no Brasil, inaplicável a comprovação de regularidade perante as autoridades brasileiras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5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254DFE" w14:paraId="487B61E8" w14:textId="77777777">
        <w:tc>
          <w:tcPr>
            <w:tcW w:w="7209" w:type="dxa"/>
            <w:vAlign w:val="center"/>
          </w:tcPr>
          <w:p w14:paraId="1D545791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5.1.a – Razão da escolha da contratada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6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14:paraId="47B010A5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54DFE" w14:paraId="71EE996F" w14:textId="77777777">
        <w:tc>
          <w:tcPr>
            <w:tcW w:w="7209" w:type="dxa"/>
            <w:vAlign w:val="center"/>
          </w:tcPr>
          <w:p w14:paraId="4067E490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5.1.b – Proposta comercial, dentro da validade</w:t>
            </w:r>
          </w:p>
        </w:tc>
        <w:tc>
          <w:tcPr>
            <w:tcW w:w="1483" w:type="dxa"/>
            <w:vAlign w:val="center"/>
          </w:tcPr>
          <w:p w14:paraId="6CB835A3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54DFE" w14:paraId="1CD48C73" w14:textId="77777777">
        <w:tc>
          <w:tcPr>
            <w:tcW w:w="8692" w:type="dxa"/>
            <w:gridSpan w:val="2"/>
            <w:vAlign w:val="center"/>
          </w:tcPr>
          <w:p w14:paraId="698134D4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5.2.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) No caso de contratação com empresa nacional:</w:t>
            </w:r>
          </w:p>
        </w:tc>
      </w:tr>
      <w:tr w:rsidR="00254DFE" w14:paraId="3137FBD5" w14:textId="77777777">
        <w:tc>
          <w:tcPr>
            <w:tcW w:w="7209" w:type="dxa"/>
            <w:vAlign w:val="center"/>
          </w:tcPr>
          <w:p w14:paraId="211CCCAE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5.2.a – Razão da escolha da contratada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7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14:paraId="68E4EBD3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54DFE" w14:paraId="310CD367" w14:textId="77777777">
        <w:tc>
          <w:tcPr>
            <w:tcW w:w="7209" w:type="dxa"/>
            <w:vAlign w:val="center"/>
          </w:tcPr>
          <w:p w14:paraId="4BC4EFB9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5.2.b – Proposta comercial, dentro da validade</w:t>
            </w:r>
          </w:p>
        </w:tc>
        <w:tc>
          <w:tcPr>
            <w:tcW w:w="1483" w:type="dxa"/>
            <w:vAlign w:val="center"/>
          </w:tcPr>
          <w:p w14:paraId="5D2D61C6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54DFE" w14:paraId="64237E76" w14:textId="77777777">
        <w:tc>
          <w:tcPr>
            <w:tcW w:w="7209" w:type="dxa"/>
            <w:vAlign w:val="center"/>
          </w:tcPr>
          <w:p w14:paraId="5416F487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5.2.c – *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Verificação no SICAF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e, se for o caso, documentos complementares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1483" w:type="dxa"/>
            <w:vAlign w:val="center"/>
          </w:tcPr>
          <w:p w14:paraId="0FAFBE48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54DFE" w14:paraId="3CA9BFC6" w14:textId="77777777">
        <w:tc>
          <w:tcPr>
            <w:tcW w:w="7209" w:type="dxa"/>
            <w:vAlign w:val="center"/>
          </w:tcPr>
          <w:p w14:paraId="40B75872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5.2.d – CEIS (Cadastro Nacional de Empresas Inidôneas e Suspensas)</w:t>
            </w:r>
          </w:p>
        </w:tc>
        <w:tc>
          <w:tcPr>
            <w:tcW w:w="1483" w:type="dxa"/>
            <w:vAlign w:val="center"/>
          </w:tcPr>
          <w:p w14:paraId="54C8F69D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54DFE" w14:paraId="1CD0B869" w14:textId="77777777">
        <w:tc>
          <w:tcPr>
            <w:tcW w:w="7209" w:type="dxa"/>
            <w:vAlign w:val="center"/>
          </w:tcPr>
          <w:p w14:paraId="572EE77E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5.2.e – CNEP (Cadastro Naciona</w:t>
            </w:r>
            <w:r>
              <w:rPr>
                <w:rFonts w:ascii="Arial" w:eastAsia="Arial" w:hAnsi="Arial" w:cs="Arial"/>
                <w:sz w:val="24"/>
                <w:szCs w:val="24"/>
              </w:rPr>
              <w:t>l de Empresas Punidas, da CGU)</w:t>
            </w:r>
          </w:p>
        </w:tc>
        <w:tc>
          <w:tcPr>
            <w:tcW w:w="1483" w:type="dxa"/>
            <w:vAlign w:val="center"/>
          </w:tcPr>
          <w:p w14:paraId="3D73C170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54DFE" w14:paraId="72D5ADF9" w14:textId="77777777">
        <w:tc>
          <w:tcPr>
            <w:tcW w:w="7209" w:type="dxa"/>
            <w:vAlign w:val="center"/>
          </w:tcPr>
          <w:p w14:paraId="0E3F5C01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5.2.f – CNCIAI (Cadastro Nacional de Condenações Cíveis por Ato de Improbidade Administrativa e Inelegibilidade, do CNJ)</w:t>
            </w:r>
          </w:p>
        </w:tc>
        <w:tc>
          <w:tcPr>
            <w:tcW w:w="1483" w:type="dxa"/>
            <w:vAlign w:val="center"/>
          </w:tcPr>
          <w:p w14:paraId="2FB94D42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54DFE" w14:paraId="00431DC3" w14:textId="77777777">
        <w:tc>
          <w:tcPr>
            <w:tcW w:w="7209" w:type="dxa"/>
            <w:vAlign w:val="center"/>
          </w:tcPr>
          <w:p w14:paraId="0A8010DD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5.2.g –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e-Sanções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(Sistema Eletrônico de Aplicação e Registro de Sanções Administrativa)</w:t>
            </w:r>
          </w:p>
        </w:tc>
        <w:tc>
          <w:tcPr>
            <w:tcW w:w="1483" w:type="dxa"/>
            <w:vAlign w:val="center"/>
          </w:tcPr>
          <w:p w14:paraId="6E1394DF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54DFE" w14:paraId="2ECD0299" w14:textId="77777777">
        <w:tc>
          <w:tcPr>
            <w:tcW w:w="7209" w:type="dxa"/>
            <w:vAlign w:val="center"/>
          </w:tcPr>
          <w:p w14:paraId="29D960F0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5.2.h – CEEP (Cadastro Estadual de Empresas Punidas)</w:t>
            </w:r>
          </w:p>
        </w:tc>
        <w:tc>
          <w:tcPr>
            <w:tcW w:w="1483" w:type="dxa"/>
            <w:vAlign w:val="center"/>
          </w:tcPr>
          <w:p w14:paraId="13689947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54DFE" w14:paraId="28781D60" w14:textId="77777777">
        <w:tc>
          <w:tcPr>
            <w:tcW w:w="7209" w:type="dxa"/>
            <w:vAlign w:val="center"/>
          </w:tcPr>
          <w:p w14:paraId="09E97E34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5.2.i – Consulta à relação de Apenados do TCESP</w:t>
            </w:r>
          </w:p>
        </w:tc>
        <w:tc>
          <w:tcPr>
            <w:tcW w:w="1483" w:type="dxa"/>
            <w:vAlign w:val="center"/>
          </w:tcPr>
          <w:p w14:paraId="5D9B4377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54DFE" w14:paraId="3FCED903" w14:textId="77777777">
        <w:tc>
          <w:tcPr>
            <w:tcW w:w="7209" w:type="dxa"/>
            <w:vAlign w:val="center"/>
          </w:tcPr>
          <w:p w14:paraId="230BA9FE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5.2.j. CADIN Estadual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9"/>
            </w:r>
          </w:p>
        </w:tc>
        <w:tc>
          <w:tcPr>
            <w:tcW w:w="1483" w:type="dxa"/>
            <w:vAlign w:val="center"/>
          </w:tcPr>
          <w:p w14:paraId="11853F02" w14:textId="77777777" w:rsidR="00254DFE" w:rsidRDefault="00C8650E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54DFE" w14:paraId="19EBB386" w14:textId="77777777">
        <w:tc>
          <w:tcPr>
            <w:tcW w:w="8692" w:type="dxa"/>
            <w:gridSpan w:val="2"/>
            <w:vAlign w:val="center"/>
          </w:tcPr>
          <w:p w14:paraId="7D682526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OBS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20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Nos casos de contratação com:</w:t>
            </w:r>
          </w:p>
          <w:p w14:paraId="1F661393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entrega imediata (prazo de entrega até 30 dias da ordem de fornecimento);</w:t>
            </w:r>
          </w:p>
          <w:p w14:paraId="2A09B01E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</w:p>
          <w:p w14:paraId="50B62DD6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valores inferiores a ¼ do limite de dispensa para compras em geral 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R$ 15.681,40 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1"/>
            </w:r>
            <w:r>
              <w:rPr>
                <w:rFonts w:ascii="Arial" w:eastAsia="Arial" w:hAnsi="Arial" w:cs="Arial"/>
                <w:sz w:val="24"/>
                <w:szCs w:val="24"/>
              </w:rPr>
              <w:t>);</w:t>
            </w:r>
          </w:p>
          <w:p w14:paraId="78095AC2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Somente se exigirá a comprovação de regularidade perante a Fazenda Estadual e, no caso de PJ, junto à Justiça do Trabalho e à Seguridade Social – Fls. ___________</w:t>
            </w:r>
          </w:p>
        </w:tc>
      </w:tr>
    </w:tbl>
    <w:p w14:paraId="0252D6A7" w14:textId="77777777" w:rsidR="00254DFE" w:rsidRDefault="00254DFE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3F017645" w14:textId="77777777" w:rsidR="00254DFE" w:rsidRDefault="00254DFE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87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9"/>
        <w:gridCol w:w="3152"/>
      </w:tblGrid>
      <w:tr w:rsidR="00254DFE" w14:paraId="7B69F2A8" w14:textId="77777777">
        <w:trPr>
          <w:trHeight w:val="327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185A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 Minuta de Contrato</w:t>
            </w:r>
          </w:p>
        </w:tc>
      </w:tr>
      <w:tr w:rsidR="00254DFE" w14:paraId="219DCE73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1F8D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) SIM – Fls. __________</w:t>
            </w:r>
          </w:p>
          <w:p w14:paraId="4FBA3C43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6.a. Utilizou-se o modelo padronizado e pré-aprovado?</w:t>
            </w:r>
          </w:p>
          <w:p w14:paraId="36A6C097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6.b. Todos os campos foram devidamente preenchidos/justificados?</w:t>
            </w:r>
          </w:p>
          <w:p w14:paraId="36372A10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6.c. Indicar a versão utilizada - __________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6D0B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4538E7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           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</w:t>
            </w:r>
          </w:p>
          <w:p w14:paraId="67A4E423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D0F3F9" w14:textId="77777777" w:rsidR="00254DFE" w:rsidRDefault="00C8650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</w:t>
            </w:r>
          </w:p>
          <w:p w14:paraId="5A2C6874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B0118A" w14:textId="77777777" w:rsidR="00254DFE" w:rsidRDefault="00254DFE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54DFE" w14:paraId="038762D2" w14:textId="77777777">
        <w:trPr>
          <w:trHeight w:val="558"/>
        </w:trPr>
        <w:tc>
          <w:tcPr>
            <w:tcW w:w="8721" w:type="dxa"/>
            <w:gridSpan w:val="2"/>
            <w:vAlign w:val="center"/>
          </w:tcPr>
          <w:p w14:paraId="3E05DA3C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) NÃO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2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</w:t>
            </w:r>
          </w:p>
          <w:p w14:paraId="0191FC14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6.d. O contrato será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substituído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pelos seguintes documentos (como, por exemplo, carta-contrato, nota de empenho, ordem de exec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ução de serviço, proposta comercial etc.), por conter as condições mínimas de contratação previstas no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art. 92, da Lei 14.133/2021</w:t>
            </w:r>
            <w:r>
              <w:rPr>
                <w:rFonts w:ascii="Arial" w:eastAsia="Arial" w:hAnsi="Arial" w:cs="Arial"/>
                <w:sz w:val="24"/>
                <w:szCs w:val="24"/>
              </w:rPr>
              <w:t>, no que couber:</w:t>
            </w:r>
          </w:p>
          <w:p w14:paraId="58803B4B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______________________ - fls. </w:t>
            </w:r>
          </w:p>
          <w:p w14:paraId="4A6F96A5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______________________ - fls. </w:t>
            </w:r>
          </w:p>
          <w:p w14:paraId="35F31A8C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  <w:p w14:paraId="4A4E4832" w14:textId="77777777" w:rsidR="00254DFE" w:rsidRDefault="00254DF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34901D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Possui valor até R$ 125.451,15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3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para obras e serviços de engenharia ou de manutenção de veículos automotores) </w:t>
            </w:r>
          </w:p>
          <w:p w14:paraId="53897C3B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</w:p>
          <w:p w14:paraId="5C6FB926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Possui valor até R$ 62.725,59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4"/>
            </w:r>
            <w:r>
              <w:rPr>
                <w:rFonts w:ascii="Arial" w:eastAsia="Arial" w:hAnsi="Arial" w:cs="Arial"/>
                <w:sz w:val="24"/>
                <w:szCs w:val="24"/>
              </w:rPr>
              <w:t>, para outros serviços e compras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5"/>
            </w:r>
          </w:p>
          <w:p w14:paraId="451EDF37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</w:p>
          <w:p w14:paraId="4C6616D9" w14:textId="77777777" w:rsidR="00254DFE" w:rsidRDefault="00C8650E">
            <w:pPr>
              <w:shd w:val="clear" w:color="auto" w:fill="FFFFFF"/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Trata-se de compra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6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com entrega integral e imediata (até 30 dias, da ordem de fornecimento) e que não resultem obrigações futuras, inclusive de assistência técnica, independentemente de valor.</w:t>
            </w:r>
          </w:p>
        </w:tc>
      </w:tr>
      <w:tr w:rsidR="00254DFE" w14:paraId="51AAE875" w14:textId="77777777">
        <w:trPr>
          <w:trHeight w:val="3108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B98C" w14:textId="77777777" w:rsidR="00254DFE" w:rsidRDefault="00C8650E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 caso de contratada estrangeira com exigência de formalização do seu contrato 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adrão, a Unidade/Órgão interessado deverá apresentar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 específica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contendo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Fls. _____________:</w:t>
            </w:r>
          </w:p>
          <w:p w14:paraId="5D6936F4" w14:textId="77777777" w:rsidR="00254DFE" w:rsidRDefault="00C8650E">
            <w:pPr>
              <w:numPr>
                <w:ilvl w:val="0"/>
                <w:numId w:val="1"/>
              </w:num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Esclarecimentos a respeito das tentativas de negociação e da intransigência da contratada;</w:t>
            </w:r>
          </w:p>
          <w:p w14:paraId="286E1BAA" w14:textId="77777777" w:rsidR="00254DFE" w:rsidRDefault="00C8650E">
            <w:pPr>
              <w:numPr>
                <w:ilvl w:val="0"/>
                <w:numId w:val="1"/>
              </w:num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 detalhada das condições contratuais impostas pela contratada e dos eventuais riscos;</w:t>
            </w:r>
          </w:p>
          <w:p w14:paraId="23280740" w14:textId="77777777" w:rsidR="00254DFE" w:rsidRDefault="00C8650E">
            <w:pPr>
              <w:numPr>
                <w:ilvl w:val="0"/>
                <w:numId w:val="1"/>
              </w:num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 da necessidade de contratação, mesmo nas condições imposta</w:t>
            </w:r>
            <w:r>
              <w:rPr>
                <w:rFonts w:ascii="Arial" w:eastAsia="Arial" w:hAnsi="Arial" w:cs="Arial"/>
                <w:sz w:val="24"/>
                <w:szCs w:val="24"/>
              </w:rPr>
              <w:t>s pela contratada.</w:t>
            </w:r>
          </w:p>
        </w:tc>
      </w:tr>
    </w:tbl>
    <w:p w14:paraId="24A4B1EA" w14:textId="77777777" w:rsidR="00254DFE" w:rsidRDefault="00254DFE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5D4A1694" w14:textId="77777777" w:rsidR="00254DFE" w:rsidRDefault="00C8650E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Instruído o procedimento até o presente, declaro, sob minha responsabilidade, que as informações constantes do presente </w:t>
      </w:r>
      <w:r>
        <w:rPr>
          <w:rFonts w:ascii="Arial" w:eastAsia="Arial" w:hAnsi="Arial" w:cs="Arial"/>
          <w:i/>
          <w:sz w:val="24"/>
          <w:szCs w:val="24"/>
        </w:rPr>
        <w:t>relatório de verificação</w:t>
      </w:r>
      <w:r>
        <w:rPr>
          <w:rFonts w:ascii="Arial" w:eastAsia="Arial" w:hAnsi="Arial" w:cs="Arial"/>
          <w:sz w:val="24"/>
          <w:szCs w:val="24"/>
        </w:rPr>
        <w:t xml:space="preserve"> são verídicas e que o preenchimento dos requisitos legais ora elencados foi por mim verifi</w:t>
      </w:r>
      <w:r>
        <w:rPr>
          <w:rFonts w:ascii="Arial" w:eastAsia="Arial" w:hAnsi="Arial" w:cs="Arial"/>
          <w:sz w:val="24"/>
          <w:szCs w:val="24"/>
        </w:rPr>
        <w:t>cado.</w:t>
      </w:r>
    </w:p>
    <w:p w14:paraId="7E510AEC" w14:textId="77777777" w:rsidR="00254DFE" w:rsidRDefault="00254DFE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061CF3CD" w14:textId="77777777" w:rsidR="00254DFE" w:rsidRDefault="00C8650E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Declaro, especificamente, que o termo de contrato utilizado (se for o caso, nos termos do item 6 acima) seguiu a minuta disponibilizada e pré-aprovada pela Procuradoria Geral, e que não foram feitas modificações no texto que não o mero preenchimento</w:t>
      </w:r>
      <w:r>
        <w:rPr>
          <w:rFonts w:ascii="Arial" w:eastAsia="Arial" w:hAnsi="Arial" w:cs="Arial"/>
          <w:sz w:val="24"/>
          <w:szCs w:val="24"/>
        </w:rPr>
        <w:t xml:space="preserve"> dos campos editáveis.</w:t>
      </w:r>
    </w:p>
    <w:p w14:paraId="1FC1C0E3" w14:textId="77777777" w:rsidR="00254DFE" w:rsidRDefault="00254DFE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67118DE4" w14:textId="77777777" w:rsidR="00254DFE" w:rsidRDefault="00C8650E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Pelo exposto, tratando-se de hipótese de contratação direta por inexigibilidade com </w:t>
      </w:r>
      <w:r>
        <w:rPr>
          <w:rFonts w:ascii="Arial" w:eastAsia="Arial" w:hAnsi="Arial" w:cs="Arial"/>
          <w:b/>
          <w:sz w:val="24"/>
          <w:szCs w:val="24"/>
        </w:rPr>
        <w:t>valores de até</w:t>
      </w:r>
      <w:r>
        <w:rPr>
          <w:rFonts w:ascii="Arial" w:eastAsia="Arial" w:hAnsi="Arial" w:cs="Arial"/>
          <w:i/>
          <w:sz w:val="24"/>
          <w:szCs w:val="24"/>
          <w:vertAlign w:val="superscript"/>
        </w:rPr>
        <w:footnoteReference w:id="27"/>
      </w:r>
      <w:r>
        <w:rPr>
          <w:rFonts w:ascii="Arial" w:eastAsia="Arial" w:hAnsi="Arial" w:cs="Arial"/>
          <w:sz w:val="24"/>
          <w:szCs w:val="24"/>
        </w:rPr>
        <w:t>:</w:t>
      </w:r>
    </w:p>
    <w:p w14:paraId="277D6455" w14:textId="77777777" w:rsidR="00254DFE" w:rsidRDefault="00C8650E">
      <w:pPr>
        <w:spacing w:before="80" w:after="80"/>
        <w:ind w:left="0" w:hanging="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R$ 250.902,30, </w:t>
      </w:r>
      <w:r>
        <w:rPr>
          <w:rFonts w:ascii="Arial" w:eastAsia="Arial" w:hAnsi="Arial" w:cs="Arial"/>
          <w:sz w:val="24"/>
          <w:szCs w:val="24"/>
        </w:rPr>
        <w:t xml:space="preserve">obras e serviços de engenharia ou de serviços de manutenção de veículos automotores </w:t>
      </w:r>
    </w:p>
    <w:p w14:paraId="107ED810" w14:textId="77777777" w:rsidR="00254DFE" w:rsidRDefault="00C8650E">
      <w:pPr>
        <w:spacing w:before="80" w:after="80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OU</w:t>
      </w:r>
    </w:p>
    <w:p w14:paraId="6D33A6B7" w14:textId="77777777" w:rsidR="00254DFE" w:rsidRPr="00C8650E" w:rsidRDefault="00C8650E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C8650E"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 w:rsidRPr="00C8650E">
        <w:rPr>
          <w:rFonts w:ascii="Arial" w:eastAsia="Arial" w:hAnsi="Arial" w:cs="Arial"/>
          <w:sz w:val="24"/>
          <w:szCs w:val="24"/>
        </w:rPr>
        <w:t xml:space="preserve"> ) R$ 125.451,1</w:t>
      </w:r>
      <w:r w:rsidRPr="00C8650E">
        <w:rPr>
          <w:rFonts w:ascii="Arial" w:eastAsia="Arial" w:hAnsi="Arial" w:cs="Arial"/>
          <w:sz w:val="24"/>
          <w:szCs w:val="24"/>
        </w:rPr>
        <w:t>8</w:t>
      </w:r>
      <w:r w:rsidRPr="00C8650E">
        <w:rPr>
          <w:rFonts w:ascii="Arial" w:eastAsia="Arial" w:hAnsi="Arial" w:cs="Arial"/>
          <w:sz w:val="24"/>
          <w:szCs w:val="24"/>
        </w:rPr>
        <w:t>, outros serviços e compras</w:t>
      </w:r>
      <w:r w:rsidRPr="00C8650E">
        <w:rPr>
          <w:rFonts w:ascii="Arial" w:eastAsia="Arial" w:hAnsi="Arial" w:cs="Arial"/>
          <w:sz w:val="24"/>
          <w:szCs w:val="24"/>
        </w:rPr>
        <w:t xml:space="preserve">, </w:t>
      </w:r>
    </w:p>
    <w:p w14:paraId="718FB091" w14:textId="77777777" w:rsidR="00254DFE" w:rsidRPr="00C8650E" w:rsidRDefault="00C8650E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C8650E">
        <w:rPr>
          <w:rFonts w:ascii="Arial" w:eastAsia="Arial" w:hAnsi="Arial" w:cs="Arial"/>
          <w:sz w:val="24"/>
          <w:szCs w:val="24"/>
        </w:rPr>
        <w:t xml:space="preserve">atesto a conformidade legal do procedimento adotado, para fins de </w:t>
      </w:r>
      <w:r w:rsidRPr="00C8650E">
        <w:rPr>
          <w:rFonts w:ascii="Arial" w:eastAsia="Arial" w:hAnsi="Arial" w:cs="Arial"/>
          <w:b/>
          <w:sz w:val="24"/>
          <w:szCs w:val="24"/>
        </w:rPr>
        <w:t>dispensa de trâmite do processo na Procuradoria Geral da USP, nos termos do artigo 3º, § 1º, da Portaria PG n</w:t>
      </w:r>
      <w:r w:rsidRPr="00C8650E">
        <w:rPr>
          <w:rFonts w:ascii="Arial" w:eastAsia="Arial" w:hAnsi="Arial" w:cs="Arial"/>
          <w:b/>
          <w:sz w:val="24"/>
          <w:szCs w:val="24"/>
          <w:vertAlign w:val="superscript"/>
        </w:rPr>
        <w:t>o</w:t>
      </w:r>
      <w:r w:rsidRPr="00C8650E">
        <w:rPr>
          <w:rFonts w:ascii="Arial" w:eastAsia="Arial" w:hAnsi="Arial" w:cs="Arial"/>
          <w:b/>
          <w:sz w:val="24"/>
          <w:szCs w:val="24"/>
        </w:rPr>
        <w:t xml:space="preserve"> 12, de 23 de fevereiro de 2024</w:t>
      </w:r>
      <w:r w:rsidRPr="00C8650E">
        <w:rPr>
          <w:rFonts w:ascii="Arial" w:eastAsia="Arial" w:hAnsi="Arial" w:cs="Arial"/>
          <w:b/>
          <w:sz w:val="24"/>
          <w:szCs w:val="24"/>
        </w:rPr>
        <w:t xml:space="preserve">, </w:t>
      </w:r>
      <w:r w:rsidRPr="00C8650E">
        <w:rPr>
          <w:rFonts w:ascii="Arial" w:eastAsia="Arial" w:hAnsi="Arial" w:cs="Arial"/>
          <w:b/>
          <w:sz w:val="22"/>
          <w:szCs w:val="22"/>
        </w:rPr>
        <w:t>com as alterações introduzidas pela Portaria PG nº 13, de 30 de julho de 2024</w:t>
      </w:r>
      <w:r w:rsidRPr="00C8650E">
        <w:rPr>
          <w:rFonts w:ascii="Arial" w:eastAsia="Arial" w:hAnsi="Arial" w:cs="Arial"/>
          <w:b/>
          <w:sz w:val="22"/>
          <w:szCs w:val="22"/>
          <w:vertAlign w:val="superscript"/>
        </w:rPr>
        <w:footnoteReference w:id="28"/>
      </w:r>
      <w:r w:rsidRPr="00C8650E">
        <w:rPr>
          <w:rFonts w:ascii="Arial" w:eastAsia="Arial" w:hAnsi="Arial" w:cs="Arial"/>
          <w:b/>
          <w:sz w:val="22"/>
          <w:szCs w:val="22"/>
        </w:rPr>
        <w:t>.</w:t>
      </w:r>
    </w:p>
    <w:p w14:paraId="30758EB5" w14:textId="77777777" w:rsidR="00254DFE" w:rsidRPr="00C8650E" w:rsidRDefault="00254DFE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8F07C1D" w14:textId="77777777" w:rsidR="00254DFE" w:rsidRDefault="00254DFE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  <w:highlight w:val="yellow"/>
        </w:rPr>
      </w:pPr>
    </w:p>
    <w:p w14:paraId="2CD62D84" w14:textId="77777777" w:rsidR="00254DFE" w:rsidRDefault="00C8650E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________________, ___ de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20___.</w:t>
      </w:r>
    </w:p>
    <w:p w14:paraId="2F9CF7A6" w14:textId="77777777" w:rsidR="00254DFE" w:rsidRDefault="00254DFE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33D554DA" w14:textId="77777777" w:rsidR="00254DFE" w:rsidRDefault="00254DFE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1A24F5DB" w14:textId="77777777" w:rsidR="00254DFE" w:rsidRDefault="00C8650E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(Nome e assinatura do servidor responsável)</w:t>
      </w:r>
    </w:p>
    <w:p w14:paraId="16F8910D" w14:textId="77777777" w:rsidR="00254DFE" w:rsidRDefault="00254DFE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58E165EE" w14:textId="77777777" w:rsidR="00254DFE" w:rsidRDefault="00254DFE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5A103CDE" w14:textId="77777777" w:rsidR="00254DFE" w:rsidRDefault="00C8650E">
      <w:pPr>
        <w:tabs>
          <w:tab w:val="left" w:pos="6221"/>
        </w:tabs>
        <w:spacing w:before="80" w:after="8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--------------------------------------------------------------------------------------------------------</w:t>
      </w:r>
    </w:p>
    <w:p w14:paraId="3BFBEF95" w14:textId="77777777" w:rsidR="00254DFE" w:rsidRDefault="00C8650E">
      <w:pPr>
        <w:tabs>
          <w:tab w:val="left" w:pos="6221"/>
        </w:tabs>
        <w:spacing w:before="80" w:after="8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 sequência, atendidos os requisitos legais e procedimentais para continuidade da contratação, a Unidade/Órgão deverá prosseguir com as seguintes etap</w:t>
      </w:r>
      <w:r>
        <w:rPr>
          <w:rFonts w:ascii="Arial" w:eastAsia="Arial" w:hAnsi="Arial" w:cs="Arial"/>
          <w:b/>
          <w:sz w:val="24"/>
          <w:szCs w:val="24"/>
        </w:rPr>
        <w:t>as, a título informativo, no que couber:</w:t>
      </w:r>
    </w:p>
    <w:p w14:paraId="4B23064A" w14:textId="77777777" w:rsidR="00254DFE" w:rsidRDefault="00254DFE">
      <w:pPr>
        <w:tabs>
          <w:tab w:val="left" w:pos="6221"/>
        </w:tabs>
        <w:spacing w:before="80" w:after="8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9B51296" w14:textId="77777777" w:rsidR="00254DFE" w:rsidRDefault="00C8650E">
      <w:pPr>
        <w:tabs>
          <w:tab w:val="left" w:pos="6221"/>
        </w:tabs>
        <w:spacing w:before="80" w:after="8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1) Providenciar a autorização final (adjudicação e homologação)</w:t>
      </w:r>
      <w:r>
        <w:rPr>
          <w:rFonts w:ascii="Arial" w:eastAsia="Arial" w:hAnsi="Arial" w:cs="Arial"/>
          <w:sz w:val="24"/>
          <w:szCs w:val="24"/>
        </w:rPr>
        <w:t xml:space="preserve"> para contratação direta por Inexigibilidade de Licitação, nos termos da competência definida no Art. 1º, inciso I, alínea “h”, Portaria GR nº 8.321/20</w:t>
      </w:r>
      <w:r>
        <w:rPr>
          <w:rFonts w:ascii="Arial" w:eastAsia="Arial" w:hAnsi="Arial" w:cs="Arial"/>
          <w:sz w:val="24"/>
          <w:szCs w:val="24"/>
        </w:rPr>
        <w:t>24.</w:t>
      </w:r>
    </w:p>
    <w:p w14:paraId="5296C5D4" w14:textId="77777777" w:rsidR="00254DFE" w:rsidRDefault="00254DFE">
      <w:pPr>
        <w:tabs>
          <w:tab w:val="left" w:pos="6221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7D303ED6" w14:textId="77777777" w:rsidR="00254DFE" w:rsidRDefault="00C8650E">
      <w:pPr>
        <w:tabs>
          <w:tab w:val="left" w:pos="6221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2) Inserção no Sistema de Compras do Governo Federal</w:t>
      </w:r>
      <w:r>
        <w:rPr>
          <w:rFonts w:ascii="Arial" w:eastAsia="Arial" w:hAnsi="Arial" w:cs="Arial"/>
          <w:sz w:val="24"/>
          <w:szCs w:val="24"/>
        </w:rPr>
        <w:t xml:space="preserve">, nos termos do art. 23, Decreto Estadual nº 68.304/2024 (artigos 6º e 7º). </w:t>
      </w:r>
    </w:p>
    <w:p w14:paraId="3EE79C5E" w14:textId="77777777" w:rsidR="00254DFE" w:rsidRDefault="00254DFE">
      <w:pPr>
        <w:tabs>
          <w:tab w:val="left" w:pos="6221"/>
        </w:tabs>
        <w:spacing w:before="80" w:after="80"/>
        <w:ind w:left="0" w:hanging="2"/>
        <w:rPr>
          <w:rFonts w:ascii="Arial" w:eastAsia="Arial" w:hAnsi="Arial" w:cs="Arial"/>
          <w:sz w:val="24"/>
          <w:szCs w:val="24"/>
        </w:rPr>
      </w:pPr>
    </w:p>
    <w:p w14:paraId="5666891B" w14:textId="77777777" w:rsidR="00254DFE" w:rsidRDefault="00C8650E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3)</w:t>
      </w:r>
      <w:r>
        <w:rPr>
          <w:rFonts w:ascii="Arial" w:eastAsia="Arial" w:hAnsi="Arial" w:cs="Arial"/>
          <w:sz w:val="24"/>
          <w:szCs w:val="24"/>
        </w:rPr>
        <w:t xml:space="preserve"> Após finalização do procedimento de contratação, a unidade/órgão responsável deverá providenciar a </w:t>
      </w:r>
      <w:r>
        <w:rPr>
          <w:rFonts w:ascii="Arial" w:eastAsia="Arial" w:hAnsi="Arial" w:cs="Arial"/>
          <w:b/>
          <w:sz w:val="24"/>
          <w:szCs w:val="24"/>
        </w:rPr>
        <w:t>PUBLICAÇÃO E DIVULG</w:t>
      </w:r>
      <w:r>
        <w:rPr>
          <w:rFonts w:ascii="Arial" w:eastAsia="Arial" w:hAnsi="Arial" w:cs="Arial"/>
          <w:b/>
          <w:sz w:val="24"/>
          <w:szCs w:val="24"/>
        </w:rPr>
        <w:t xml:space="preserve">AÇÃO, com manutenção </w:t>
      </w:r>
      <w:r>
        <w:rPr>
          <w:rFonts w:ascii="Arial" w:eastAsia="Arial" w:hAnsi="Arial" w:cs="Arial"/>
          <w:b/>
          <w:sz w:val="24"/>
          <w:szCs w:val="24"/>
          <w:u w:val="single"/>
        </w:rPr>
        <w:t>permanente</w:t>
      </w:r>
      <w:r>
        <w:rPr>
          <w:rFonts w:ascii="Arial" w:eastAsia="Arial" w:hAnsi="Arial" w:cs="Arial"/>
          <w:b/>
          <w:sz w:val="24"/>
          <w:szCs w:val="24"/>
        </w:rPr>
        <w:t xml:space="preserve"> em sítio eletrônico oficial:</w:t>
      </w:r>
    </w:p>
    <w:p w14:paraId="36A6AB2C" w14:textId="77777777" w:rsidR="00254DFE" w:rsidRDefault="00C8650E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Ato de autorização da autoridade competente para a contratação direta ou extrato decorrente do contrato (art. 72, parágrafo único, da Lei 14.133/2021); </w:t>
      </w:r>
    </w:p>
    <w:p w14:paraId="33019313" w14:textId="77777777" w:rsidR="00254DFE" w:rsidRDefault="00C8650E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Contrato e eventuais aditivos no </w:t>
      </w:r>
      <w:r>
        <w:rPr>
          <w:rFonts w:ascii="Arial" w:eastAsia="Arial" w:hAnsi="Arial" w:cs="Arial"/>
          <w:b/>
          <w:sz w:val="24"/>
          <w:szCs w:val="24"/>
        </w:rPr>
        <w:t xml:space="preserve">Portal Nacional de Contratações Públicas (PNCP), no prazo de 10 (dez) </w:t>
      </w:r>
      <w:r>
        <w:rPr>
          <w:rFonts w:ascii="Arial" w:eastAsia="Arial" w:hAnsi="Arial" w:cs="Arial"/>
          <w:b/>
          <w:sz w:val="24"/>
          <w:szCs w:val="24"/>
        </w:rPr>
        <w:t>dias úteis</w:t>
      </w:r>
      <w:r>
        <w:rPr>
          <w:rFonts w:ascii="Arial" w:eastAsia="Arial" w:hAnsi="Arial" w:cs="Arial"/>
          <w:sz w:val="24"/>
          <w:szCs w:val="24"/>
        </w:rPr>
        <w:t xml:space="preserve"> (Art. 94, da Lei 14.133/2021).</w:t>
      </w:r>
    </w:p>
    <w:sectPr w:rsidR="00254DFE">
      <w:headerReference w:type="default" r:id="rId9"/>
      <w:footerReference w:type="default" r:id="rId10"/>
      <w:pgSz w:w="11906" w:h="16838"/>
      <w:pgMar w:top="1985" w:right="1134" w:bottom="1134" w:left="2268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6F69" w14:textId="77777777" w:rsidR="00000000" w:rsidRDefault="00C8650E">
      <w:pPr>
        <w:spacing w:line="240" w:lineRule="auto"/>
        <w:ind w:left="0" w:hanging="2"/>
      </w:pPr>
      <w:r>
        <w:separator/>
      </w:r>
    </w:p>
  </w:endnote>
  <w:endnote w:type="continuationSeparator" w:id="0">
    <w:p w14:paraId="09F249F8" w14:textId="77777777" w:rsidR="00000000" w:rsidRDefault="00C865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D369" w14:textId="77777777" w:rsidR="00254DFE" w:rsidRDefault="00C86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  <w:p w14:paraId="356756AF" w14:textId="77777777" w:rsidR="00254DFE" w:rsidRDefault="00254D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4DCE" w14:textId="77777777" w:rsidR="00000000" w:rsidRDefault="00C8650E">
      <w:pPr>
        <w:spacing w:line="240" w:lineRule="auto"/>
        <w:ind w:left="0" w:hanging="2"/>
      </w:pPr>
      <w:r>
        <w:separator/>
      </w:r>
    </w:p>
  </w:footnote>
  <w:footnote w:type="continuationSeparator" w:id="0">
    <w:p w14:paraId="3A8FD38A" w14:textId="77777777" w:rsidR="00000000" w:rsidRDefault="00C8650E">
      <w:pPr>
        <w:spacing w:line="240" w:lineRule="auto"/>
        <w:ind w:left="0" w:hanging="2"/>
      </w:pPr>
      <w:r>
        <w:continuationSeparator/>
      </w:r>
    </w:p>
  </w:footnote>
  <w:footnote w:id="1">
    <w:p w14:paraId="07C9C213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67.641/2023.</w:t>
      </w:r>
    </w:p>
  </w:footnote>
  <w:footnote w:id="2">
    <w:p w14:paraId="62270BFF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7º, “caput”, da Lei 14.133/2021.</w:t>
      </w:r>
    </w:p>
  </w:footnote>
  <w:footnote w:id="3">
    <w:p w14:paraId="0F041F37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12, inciso VII, e art. 72, inciso I, da Lei 14.133/21.</w:t>
      </w:r>
    </w:p>
  </w:footnote>
  <w:footnote w:id="4">
    <w:p w14:paraId="2C2E31D6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inciso I, e parágrafos 1º, 2º e 3º, da Lei 14.133/2021. </w:t>
      </w:r>
    </w:p>
  </w:footnote>
  <w:footnote w:id="5">
    <w:p w14:paraId="033AA2B5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parágrafo 2º, da Lei 14.133/2021.</w:t>
      </w:r>
    </w:p>
  </w:footnote>
  <w:footnote w:id="6">
    <w:p w14:paraId="7B80A390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I, da Lei 14.133/2021.</w:t>
      </w:r>
    </w:p>
  </w:footnote>
  <w:footnote w:id="7">
    <w:p w14:paraId="110FB2CB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68.185/2023.</w:t>
      </w:r>
    </w:p>
  </w:footnote>
  <w:footnote w:id="8">
    <w:p w14:paraId="224ADA4F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IV, da Lei 14.133/2021.</w:t>
      </w:r>
    </w:p>
  </w:footnote>
  <w:footnote w:id="9">
    <w:p w14:paraId="2CA5C3E5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6º, §2º, do Decreto Estadual nº 68.304/2024.</w:t>
      </w:r>
    </w:p>
  </w:footnote>
  <w:footnote w:id="10">
    <w:p w14:paraId="6E58EEB2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74, § 1º, da Lei 14.133/2021.</w:t>
      </w:r>
    </w:p>
  </w:footnote>
  <w:footnote w:id="11">
    <w:p w14:paraId="64CA1FF1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3º, § 1º - Inexiste priorização entre os parâmetros arrolados nos incisos deste artigo, podendo o agente</w:t>
      </w:r>
      <w:r>
        <w:rPr>
          <w:rFonts w:ascii="Times New Roman" w:hAnsi="Times New Roman"/>
          <w:color w:val="000000"/>
        </w:rPr>
        <w:t xml:space="preserve"> público </w:t>
      </w:r>
      <w:r>
        <w:rPr>
          <w:rFonts w:ascii="Times New Roman" w:hAnsi="Times New Roman"/>
          <w:b/>
          <w:color w:val="000000"/>
        </w:rPr>
        <w:t>optar pela adoção simples ou combinada dos referidos parâmetros</w:t>
      </w:r>
      <w:r>
        <w:rPr>
          <w:rFonts w:ascii="Times New Roman" w:hAnsi="Times New Roman"/>
          <w:color w:val="000000"/>
        </w:rPr>
        <w:t>, considerando a atratividade do mercado e a mitigação do risco de sobrepreço. (</w:t>
      </w:r>
      <w:proofErr w:type="spellStart"/>
      <w:r>
        <w:rPr>
          <w:rFonts w:ascii="Times New Roman" w:hAnsi="Times New Roman"/>
          <w:color w:val="000000"/>
        </w:rPr>
        <w:t>g.n</w:t>
      </w:r>
      <w:proofErr w:type="spellEnd"/>
      <w:r>
        <w:rPr>
          <w:rFonts w:ascii="Times New Roman" w:hAnsi="Times New Roman"/>
          <w:color w:val="000000"/>
        </w:rPr>
        <w:t>.)</w:t>
      </w:r>
    </w:p>
  </w:footnote>
  <w:footnote w:id="12">
    <w:p w14:paraId="3938555D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23, § 4º, da Lei 14.133/2021, c/c Art. 10, § 1º, Decreto Estadual n</w:t>
      </w:r>
      <w:r>
        <w:rPr>
          <w:rFonts w:ascii="Times New Roman" w:hAnsi="Times New Roman"/>
          <w:color w:val="000000"/>
          <w:vertAlign w:val="superscript"/>
        </w:rPr>
        <w:t xml:space="preserve">o </w:t>
      </w:r>
      <w:r>
        <w:rPr>
          <w:rFonts w:ascii="Times New Roman" w:hAnsi="Times New Roman"/>
          <w:color w:val="000000"/>
        </w:rPr>
        <w:t>67.888/2023.</w:t>
      </w:r>
    </w:p>
  </w:footnote>
  <w:footnote w:id="13">
    <w:p w14:paraId="412FB171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7º,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67.888/2023.</w:t>
      </w:r>
    </w:p>
  </w:footnote>
  <w:footnote w:id="14">
    <w:p w14:paraId="5DB72207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V, da Lei 14.133/2021.</w:t>
      </w:r>
    </w:p>
  </w:footnote>
  <w:footnote w:id="15">
    <w:p w14:paraId="55A1488C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Enquanto não for editado regulamento, nos termos do art. 70, p. único, da Lei 14.</w:t>
      </w:r>
      <w:r>
        <w:rPr>
          <w:rFonts w:ascii="Times New Roman" w:hAnsi="Times New Roman"/>
          <w:color w:val="000000"/>
        </w:rPr>
        <w:t>133/2021 (documentos de habilitação):</w:t>
      </w:r>
    </w:p>
    <w:p w14:paraId="2769132E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Art. 70. A documentação referida neste Capítulo poderá ser:</w:t>
      </w:r>
    </w:p>
    <w:p w14:paraId="051189E8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(...)</w:t>
      </w:r>
    </w:p>
    <w:p w14:paraId="0CE4339F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Parágrafo único. As empresas estrangeiras que não funcionem no País deverão apresentar documentos equivalentes, na forma de regulamento emitido pelo Pod</w:t>
      </w:r>
      <w:r>
        <w:rPr>
          <w:rFonts w:ascii="Times New Roman" w:hAnsi="Times New Roman"/>
          <w:i/>
          <w:color w:val="000000"/>
        </w:rPr>
        <w:t>er Executivo federal.</w:t>
      </w:r>
    </w:p>
  </w:footnote>
  <w:footnote w:id="16">
    <w:p w14:paraId="299CFFEE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VI, da Lei 14.133/2021.</w:t>
      </w:r>
    </w:p>
  </w:footnote>
  <w:footnote w:id="17">
    <w:p w14:paraId="07130489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VI, da Lei 14.133/2021.</w:t>
      </w:r>
    </w:p>
  </w:footnote>
  <w:footnote w:id="18">
    <w:p w14:paraId="7FA1C2A6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17, “caput” e §§ 1º e 2º, do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19">
    <w:p w14:paraId="7BB5540F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parágrafo único, do Decreto Estadual nº 68.304/2024.</w:t>
      </w:r>
    </w:p>
  </w:footnote>
  <w:footnote w:id="20">
    <w:p w14:paraId="7666CA18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do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21">
    <w:p w14:paraId="6063E44B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</w:rPr>
        <w:t>Decreto nº 12.343/2024 – valor a ser atualizado anualmente.</w:t>
      </w:r>
    </w:p>
  </w:footnote>
  <w:footnote w:id="22">
    <w:p w14:paraId="7339E889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95, da Lei 14.133/2021.</w:t>
      </w:r>
    </w:p>
  </w:footnote>
  <w:footnote w:id="23">
    <w:p w14:paraId="0F9AC110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nº 12.343/2024, valor a ser atualizado anualmente.</w:t>
      </w:r>
    </w:p>
  </w:footnote>
  <w:footnote w:id="24">
    <w:p w14:paraId="3EED4EDD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nº 12.343/2024, valor a ser atualizado anualmente.</w:t>
      </w:r>
    </w:p>
  </w:footnote>
  <w:footnote w:id="25">
    <w:p w14:paraId="30F75C23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Sobre aplicabilidade do art. 95, inciso I, da Lei 14.133/2021 para as contratações por inexigibilidade, vide Parecer CJ/SAP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81/202</w:t>
      </w:r>
      <w:r>
        <w:rPr>
          <w:rFonts w:ascii="Times New Roman" w:hAnsi="Times New Roman"/>
          <w:color w:val="000000"/>
        </w:rPr>
        <w:t xml:space="preserve">4 (PGESP), com base na mesma </w:t>
      </w:r>
      <w:proofErr w:type="spellStart"/>
      <w:r>
        <w:rPr>
          <w:rFonts w:ascii="Times New Roman" w:hAnsi="Times New Roman"/>
          <w:i/>
          <w:color w:val="000000"/>
        </w:rPr>
        <w:t>ratio</w:t>
      </w:r>
      <w:proofErr w:type="spellEnd"/>
      <w:r>
        <w:rPr>
          <w:rFonts w:ascii="Times New Roman" w:hAnsi="Times New Roman"/>
          <w:color w:val="000000"/>
        </w:rPr>
        <w:t xml:space="preserve"> incidente e https://www.portal.pge.sp.gov.br/wp-content/uploads/2024/02/3a-versao-orientacoes-consolidadas-nllc-compactado.pdf.</w:t>
      </w:r>
    </w:p>
  </w:footnote>
  <w:footnote w:id="26">
    <w:p w14:paraId="1C967B1E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6º, inciso X, da Lei 14.133/2021 – “compra: aquisição remunerada de bens para fornecim</w:t>
      </w:r>
      <w:r>
        <w:rPr>
          <w:rFonts w:ascii="Times New Roman" w:hAnsi="Times New Roman"/>
          <w:color w:val="000000"/>
        </w:rPr>
        <w:t>ento de uma só vez ou parceladamente, considerada imediata aquela com prazo de entrega de até 30 (trinta) dias da ordem de fornecimento”.</w:t>
      </w:r>
    </w:p>
  </w:footnote>
  <w:footnote w:id="27">
    <w:p w14:paraId="53FDDD8D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2 vezes o valor para dispensas de licitação dos incisos I e II do artigo 75 da Lei nº 14.133/2021, atualizados, cf. </w:t>
      </w:r>
      <w:r>
        <w:rPr>
          <w:rFonts w:ascii="Times New Roman" w:hAnsi="Times New Roman"/>
          <w:color w:val="000000"/>
        </w:rPr>
        <w:t>Decreto nº 12.343/2024 (valor a ser atualizado anualmente).12.343/2024</w:t>
      </w:r>
    </w:p>
  </w:footnote>
  <w:footnote w:id="28">
    <w:p w14:paraId="4D295824" w14:textId="77777777" w:rsidR="00254DFE" w:rsidRDefault="00C86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Portaria PG nº 13/2024 - https://pgusp.usp.br/wp-content/uploads/Portaria-PG-13-de-30-de-julho-de-2024.pdf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425E" w14:textId="77777777" w:rsidR="00254DFE" w:rsidRDefault="00C86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t>V 01.2025 – dispensa de trâmite PG</w:t>
    </w:r>
  </w:p>
  <w:p w14:paraId="4642D2C2" w14:textId="77777777" w:rsidR="00254DFE" w:rsidRDefault="00254D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3494"/>
    <w:multiLevelType w:val="multilevel"/>
    <w:tmpl w:val="BB7061F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B6E06AA"/>
    <w:multiLevelType w:val="multilevel"/>
    <w:tmpl w:val="AA040A50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FE"/>
    <w:rsid w:val="00254DFE"/>
    <w:rsid w:val="00C8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0641"/>
  <w15:docId w15:val="{262B771A-EAFC-421D-8D4F-0E8AAFE8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ms Rmn" w:hAnsi="Tms Rmn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after="960" w:line="480" w:lineRule="atLeast"/>
      <w:jc w:val="center"/>
    </w:pPr>
    <w:rPr>
      <w:rFonts w:ascii="Arial" w:hAnsi="Arial"/>
      <w:b/>
      <w:spacing w:val="60"/>
      <w:sz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480" w:lineRule="atLeast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240" w:lineRule="atLeast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after="600" w:line="480" w:lineRule="atLeast"/>
      <w:ind w:firstLine="3402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pPr>
      <w:keepNext/>
      <w:spacing w:after="120"/>
      <w:ind w:left="3969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val="pt-BR" w:eastAsia="pt-BR" w:bidi="ar-SA"/>
    </w:rPr>
  </w:style>
  <w:style w:type="paragraph" w:styleId="Recuodecorpodetexto">
    <w:name w:val="Body Text Indent"/>
    <w:basedOn w:val="Normal"/>
    <w:pPr>
      <w:spacing w:line="480" w:lineRule="auto"/>
      <w:ind w:firstLine="3402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after="480" w:line="240" w:lineRule="atLeast"/>
      <w:ind w:left="3969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rPr>
      <w:rFonts w:ascii="Tms Rmn" w:hAnsi="Tms Rmn"/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Tms Rmn" w:hAnsi="Tms Rmn"/>
      <w:w w:val="100"/>
      <w:position w:val="-1"/>
      <w:effect w:val="none"/>
      <w:vertAlign w:val="baseline"/>
      <w:cs w:val="0"/>
      <w:em w:val="none"/>
    </w:rPr>
  </w:style>
  <w:style w:type="character" w:customStyle="1" w:styleId="cf01">
    <w:name w:val="cf01"/>
    <w:rPr>
      <w:rFonts w:ascii="Segoe UI" w:hAnsi="Segoe UI" w:cs="Segoe UI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rFonts w:ascii="Tms Rmn" w:hAnsi="Tms Rmn"/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Tms Rmn" w:hAnsi="Tms Rmn"/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7cJ5b4EIy8xzPXkDcsxxlBmd+w==">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1725</Words>
  <Characters>9315</Characters>
  <Application>Microsoft Office Word</Application>
  <DocSecurity>0</DocSecurity>
  <Lines>77</Lines>
  <Paragraphs>22</Paragraphs>
  <ScaleCrop>false</ScaleCrop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Gustavo</dc:creator>
  <cp:lastModifiedBy>Autor</cp:lastModifiedBy>
  <cp:revision>2</cp:revision>
  <dcterms:created xsi:type="dcterms:W3CDTF">2025-01-15T19:46:00Z</dcterms:created>
  <dcterms:modified xsi:type="dcterms:W3CDTF">2025-01-30T19:24:00Z</dcterms:modified>
</cp:coreProperties>
</file>