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415C" w14:textId="0CF0DC03" w:rsidR="00D945BE" w:rsidRPr="00E918B8" w:rsidRDefault="00F466E9" w:rsidP="00D945BE">
      <w:pPr>
        <w:keepNext/>
        <w:autoSpaceDE w:val="0"/>
        <w:autoSpaceDN w:val="0"/>
        <w:adjustRightInd w:val="0"/>
        <w:spacing w:before="120" w:after="120" w:line="312" w:lineRule="auto"/>
        <w:jc w:val="center"/>
        <w:outlineLvl w:val="0"/>
        <w:rPr>
          <w:rFonts w:cs="Arial"/>
          <w:b/>
          <w:sz w:val="28"/>
          <w:szCs w:val="28"/>
        </w:rPr>
      </w:pPr>
      <w:bookmarkStart w:id="0" w:name="_Toc155881558"/>
      <w:r w:rsidRPr="00E918B8">
        <w:rPr>
          <w:rFonts w:cs="Arial"/>
          <w:b/>
          <w:sz w:val="28"/>
          <w:szCs w:val="28"/>
        </w:rPr>
        <w:t xml:space="preserve">INSTRUÇÕES DE </w:t>
      </w:r>
      <w:bookmarkEnd w:id="0"/>
      <w:r w:rsidR="00D945BE" w:rsidRPr="00E918B8">
        <w:rPr>
          <w:rFonts w:cs="Arial"/>
          <w:b/>
          <w:sz w:val="28"/>
          <w:szCs w:val="28"/>
        </w:rPr>
        <w:t>PREENCHIMENTO</w:t>
      </w:r>
      <w:r w:rsidR="00D945BE">
        <w:rPr>
          <w:rFonts w:cs="Arial"/>
          <w:b/>
          <w:sz w:val="28"/>
          <w:szCs w:val="28"/>
        </w:rPr>
        <w:t xml:space="preserve"> </w:t>
      </w:r>
      <w:r w:rsidR="00B3452C">
        <w:rPr>
          <w:rFonts w:cs="Arial"/>
          <w:b/>
          <w:sz w:val="28"/>
          <w:szCs w:val="28"/>
        </w:rPr>
        <w:t>–</w:t>
      </w:r>
      <w:r w:rsidR="00D945BE">
        <w:rPr>
          <w:rFonts w:cs="Arial"/>
          <w:b/>
          <w:sz w:val="28"/>
          <w:szCs w:val="28"/>
        </w:rPr>
        <w:t xml:space="preserve"> MINUTA DE CONTRATO </w:t>
      </w:r>
    </w:p>
    <w:p w14:paraId="26F23C96" w14:textId="04426BBF" w:rsidR="00A41F64" w:rsidRDefault="00B450DF" w:rsidP="00D945BE">
      <w:pPr>
        <w:keepNext/>
        <w:autoSpaceDE w:val="0"/>
        <w:autoSpaceDN w:val="0"/>
        <w:adjustRightInd w:val="0"/>
        <w:spacing w:before="120" w:after="120" w:line="312" w:lineRule="auto"/>
        <w:jc w:val="center"/>
        <w:outlineLvl w:val="0"/>
        <w:rPr>
          <w:rFonts w:cs="Arial"/>
          <w:b/>
          <w:sz w:val="28"/>
          <w:szCs w:val="28"/>
        </w:rPr>
      </w:pPr>
      <w:r w:rsidRPr="00E918B8">
        <w:rPr>
          <w:rFonts w:cs="Arial"/>
          <w:b/>
          <w:sz w:val="28"/>
          <w:szCs w:val="28"/>
        </w:rPr>
        <w:t>FORNECIMENTO</w:t>
      </w:r>
      <w:r w:rsidR="00D945BE">
        <w:rPr>
          <w:rFonts w:cs="Arial"/>
          <w:b/>
          <w:sz w:val="28"/>
          <w:szCs w:val="28"/>
        </w:rPr>
        <w:t xml:space="preserve"> DE</w:t>
      </w:r>
      <w:r w:rsidRPr="00E918B8">
        <w:rPr>
          <w:rFonts w:cs="Arial"/>
          <w:b/>
          <w:sz w:val="28"/>
          <w:szCs w:val="28"/>
        </w:rPr>
        <w:t xml:space="preserve"> </w:t>
      </w:r>
      <w:r w:rsidR="00D945BE">
        <w:rPr>
          <w:rFonts w:cs="Arial"/>
          <w:b/>
          <w:sz w:val="28"/>
          <w:szCs w:val="28"/>
        </w:rPr>
        <w:t>PRODUTOS PARA PESQUISA</w:t>
      </w:r>
    </w:p>
    <w:p w14:paraId="06144F23" w14:textId="5198BBEC" w:rsidR="00D945BE" w:rsidRDefault="00D945BE" w:rsidP="00D945BE">
      <w:pPr>
        <w:pStyle w:val="PargrafodaLista"/>
        <w:spacing w:before="120" w:after="120"/>
        <w:ind w:left="0"/>
        <w:rPr>
          <w:rFonts w:cs="Arial"/>
          <w:b/>
          <w:bCs/>
          <w:color w:val="000000" w:themeColor="text1"/>
          <w:sz w:val="28"/>
          <w:szCs w:val="28"/>
        </w:rPr>
      </w:pPr>
      <w:r w:rsidRPr="00D945BE">
        <w:rPr>
          <w:rFonts w:cs="Arial"/>
          <w:b/>
          <w:bCs/>
          <w:color w:val="000000" w:themeColor="text1"/>
          <w:sz w:val="28"/>
          <w:szCs w:val="28"/>
        </w:rPr>
        <w:t>Contratação Direta – Artigo 75, inciso IV, “c” da Lei nº 14.133/21</w:t>
      </w:r>
    </w:p>
    <w:p w14:paraId="7C88758A" w14:textId="77777777" w:rsidR="00D945BE" w:rsidRPr="00D945BE" w:rsidRDefault="00D945BE" w:rsidP="00D945BE">
      <w:pPr>
        <w:pStyle w:val="PargrafodaLista"/>
        <w:spacing w:before="120" w:after="120"/>
        <w:ind w:left="0"/>
        <w:rPr>
          <w:rFonts w:cs="Arial"/>
          <w:b/>
          <w:bCs/>
          <w:color w:val="000000" w:themeColor="text1"/>
          <w:sz w:val="28"/>
          <w:szCs w:val="28"/>
        </w:rPr>
      </w:pPr>
    </w:p>
    <w:p w14:paraId="3D6B3BCB" w14:textId="7464674D" w:rsidR="001522A6" w:rsidRPr="00E918B8" w:rsidRDefault="00F466E9" w:rsidP="00E918B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12" w:lineRule="auto"/>
        <w:ind w:left="567" w:hanging="567"/>
        <w:jc w:val="both"/>
        <w:rPr>
          <w:rFonts w:cs="Arial"/>
          <w:bCs/>
          <w:sz w:val="22"/>
          <w:szCs w:val="22"/>
        </w:rPr>
      </w:pPr>
      <w:r w:rsidRPr="00E918B8">
        <w:rPr>
          <w:rFonts w:cs="Arial"/>
          <w:b/>
          <w:bCs/>
          <w:sz w:val="22"/>
          <w:szCs w:val="22"/>
        </w:rPr>
        <w:t xml:space="preserve">Resumo explicativo. </w:t>
      </w:r>
      <w:r w:rsidRPr="00E918B8">
        <w:rPr>
          <w:rFonts w:cs="Arial"/>
          <w:bCs/>
          <w:sz w:val="22"/>
          <w:szCs w:val="22"/>
        </w:rPr>
        <w:t xml:space="preserve">Esta é uma minuta </w:t>
      </w:r>
      <w:r w:rsidR="0018103A" w:rsidRPr="00E918B8">
        <w:rPr>
          <w:rFonts w:cs="Arial"/>
          <w:bCs/>
          <w:sz w:val="22"/>
          <w:szCs w:val="22"/>
        </w:rPr>
        <w:t>genérica de</w:t>
      </w:r>
      <w:r w:rsidR="0018103A" w:rsidRPr="00E918B8">
        <w:rPr>
          <w:rFonts w:cs="Arial"/>
          <w:b/>
          <w:sz w:val="22"/>
          <w:szCs w:val="22"/>
        </w:rPr>
        <w:t xml:space="preserve"> </w:t>
      </w:r>
      <w:r w:rsidR="005C4390" w:rsidRPr="00E918B8">
        <w:rPr>
          <w:rFonts w:cs="Arial"/>
          <w:b/>
          <w:sz w:val="22"/>
          <w:szCs w:val="22"/>
        </w:rPr>
        <w:t xml:space="preserve">TERMO DE CONTRATO </w:t>
      </w:r>
      <w:r w:rsidRPr="00E918B8">
        <w:rPr>
          <w:rFonts w:cs="Arial"/>
          <w:bCs/>
          <w:sz w:val="22"/>
          <w:szCs w:val="22"/>
        </w:rPr>
        <w:t xml:space="preserve">para </w:t>
      </w:r>
      <w:r w:rsidR="005C4390" w:rsidRPr="00E918B8">
        <w:rPr>
          <w:rFonts w:cs="Arial"/>
          <w:b/>
          <w:sz w:val="22"/>
          <w:szCs w:val="22"/>
        </w:rPr>
        <w:t>FORNECIMENTO DE BENS</w:t>
      </w:r>
      <w:r w:rsidRPr="00E918B8">
        <w:rPr>
          <w:rFonts w:cs="Arial"/>
          <w:bCs/>
          <w:sz w:val="22"/>
          <w:szCs w:val="22"/>
        </w:rPr>
        <w:t xml:space="preserve">, em conformidade com a disciplina da Lei </w:t>
      </w:r>
      <w:bookmarkStart w:id="1" w:name="_Hlk126656396"/>
      <w:r w:rsidRPr="00E918B8">
        <w:rPr>
          <w:rFonts w:cs="Arial"/>
          <w:bCs/>
          <w:sz w:val="22"/>
          <w:szCs w:val="22"/>
        </w:rPr>
        <w:t>federal</w:t>
      </w:r>
      <w:bookmarkEnd w:id="1"/>
      <w:r w:rsidRPr="00E918B8">
        <w:rPr>
          <w:rFonts w:cs="Arial"/>
          <w:bCs/>
          <w:sz w:val="22"/>
          <w:szCs w:val="22"/>
        </w:rPr>
        <w:t xml:space="preserve"> nº 14.133/2021, com fundamento no </w:t>
      </w:r>
      <w:r w:rsidRPr="00E05171">
        <w:rPr>
          <w:rFonts w:cs="Arial"/>
          <w:b/>
          <w:sz w:val="22"/>
          <w:szCs w:val="22"/>
        </w:rPr>
        <w:t xml:space="preserve">artigo </w:t>
      </w:r>
      <w:r w:rsidR="00B3452C">
        <w:rPr>
          <w:rFonts w:cs="Arial"/>
          <w:b/>
          <w:sz w:val="22"/>
          <w:szCs w:val="22"/>
        </w:rPr>
        <w:t xml:space="preserve">75, </w:t>
      </w:r>
      <w:r w:rsidR="00E05171" w:rsidRPr="00E05171">
        <w:rPr>
          <w:rFonts w:cs="Arial"/>
          <w:b/>
          <w:sz w:val="22"/>
          <w:szCs w:val="22"/>
        </w:rPr>
        <w:t>inciso I</w:t>
      </w:r>
      <w:r w:rsidR="00B3452C">
        <w:rPr>
          <w:rFonts w:cs="Arial"/>
          <w:b/>
          <w:sz w:val="22"/>
          <w:szCs w:val="22"/>
        </w:rPr>
        <w:t>V, alínea “c”</w:t>
      </w:r>
      <w:r w:rsidRPr="00E05171">
        <w:rPr>
          <w:rFonts w:cs="Arial"/>
          <w:b/>
          <w:sz w:val="22"/>
          <w:szCs w:val="22"/>
        </w:rPr>
        <w:t>.</w:t>
      </w:r>
      <w:r w:rsidRPr="00E918B8">
        <w:rPr>
          <w:rFonts w:cs="Arial"/>
          <w:bCs/>
          <w:sz w:val="22"/>
          <w:szCs w:val="22"/>
        </w:rPr>
        <w:t xml:space="preserve"> </w:t>
      </w:r>
    </w:p>
    <w:p w14:paraId="6F0A30CC" w14:textId="47E265FD" w:rsidR="00B450DF" w:rsidRPr="00E918B8" w:rsidRDefault="00B450DF" w:rsidP="00E918B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12" w:lineRule="auto"/>
        <w:ind w:left="567" w:hanging="567"/>
        <w:jc w:val="both"/>
        <w:rPr>
          <w:rFonts w:cs="Arial"/>
          <w:sz w:val="22"/>
          <w:szCs w:val="22"/>
        </w:rPr>
      </w:pPr>
      <w:r w:rsidRPr="00E918B8">
        <w:rPr>
          <w:rFonts w:cs="Arial"/>
          <w:sz w:val="22"/>
          <w:szCs w:val="22"/>
        </w:rPr>
        <w:t xml:space="preserve">Trata-se de minuta adaptada </w:t>
      </w:r>
      <w:r w:rsidR="002D3063" w:rsidRPr="00E918B8">
        <w:rPr>
          <w:rFonts w:cs="Arial"/>
          <w:sz w:val="22"/>
          <w:szCs w:val="22"/>
        </w:rPr>
        <w:t>pelo Estado de São Paulo e aprovada pela PGUSP</w:t>
      </w:r>
      <w:r w:rsidRPr="00E918B8">
        <w:rPr>
          <w:rFonts w:cs="Arial"/>
          <w:sz w:val="22"/>
          <w:szCs w:val="22"/>
        </w:rPr>
        <w:t>. As orientações e notas explicativas da União somente são aplicáveis à presente minuta quando forem compatíveis com a redação nela adotada, e com a legislação específica do Estado de São Paulo.</w:t>
      </w:r>
    </w:p>
    <w:p w14:paraId="4FC20485" w14:textId="7183B59A" w:rsidR="00972398" w:rsidRPr="00E918B8" w:rsidRDefault="00B450DF" w:rsidP="00E918B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12" w:lineRule="auto"/>
        <w:ind w:left="567" w:hanging="567"/>
        <w:jc w:val="both"/>
        <w:rPr>
          <w:rFonts w:cs="Arial"/>
          <w:sz w:val="22"/>
          <w:szCs w:val="22"/>
        </w:rPr>
      </w:pPr>
      <w:r w:rsidRPr="00E918B8">
        <w:rPr>
          <w:rFonts w:cs="Arial"/>
          <w:bCs/>
          <w:sz w:val="22"/>
          <w:szCs w:val="22"/>
        </w:rPr>
        <w:t xml:space="preserve">Para adequada utilização deste </w:t>
      </w:r>
      <w:r w:rsidR="005C4390" w:rsidRPr="00E918B8">
        <w:rPr>
          <w:rFonts w:cs="Arial"/>
          <w:b/>
          <w:sz w:val="22"/>
          <w:szCs w:val="22"/>
        </w:rPr>
        <w:t>TERMO DE CONTRATO</w:t>
      </w:r>
      <w:r w:rsidR="005C4390" w:rsidRPr="00847BE6">
        <w:rPr>
          <w:rFonts w:cs="Arial"/>
          <w:bCs/>
          <w:sz w:val="22"/>
          <w:szCs w:val="22"/>
        </w:rPr>
        <w:t xml:space="preserve"> </w:t>
      </w:r>
      <w:r w:rsidR="00972398" w:rsidRPr="00E918B8">
        <w:rPr>
          <w:rFonts w:cs="Arial"/>
          <w:sz w:val="22"/>
          <w:szCs w:val="22"/>
        </w:rPr>
        <w:t>esclarecemos:</w:t>
      </w:r>
    </w:p>
    <w:p w14:paraId="10926D0B" w14:textId="536F7CFE" w:rsidR="00972398" w:rsidRPr="00E918B8" w:rsidRDefault="00972398" w:rsidP="00E918B8">
      <w:pPr>
        <w:pStyle w:val="PargrafodaLista"/>
        <w:numPr>
          <w:ilvl w:val="0"/>
          <w:numId w:val="5"/>
        </w:numPr>
        <w:shd w:val="clear" w:color="auto" w:fill="FFFFFF"/>
        <w:spacing w:before="120" w:after="120" w:line="312" w:lineRule="auto"/>
        <w:ind w:left="1134" w:hanging="425"/>
        <w:contextualSpacing w:val="0"/>
        <w:jc w:val="both"/>
        <w:rPr>
          <w:rFonts w:cs="Arial"/>
          <w:sz w:val="22"/>
          <w:szCs w:val="22"/>
        </w:rPr>
      </w:pPr>
      <w:r w:rsidRPr="00E918B8">
        <w:rPr>
          <w:rFonts w:cs="Arial"/>
          <w:b/>
          <w:bCs/>
          <w:color w:val="FF0000"/>
          <w:sz w:val="22"/>
          <w:szCs w:val="22"/>
        </w:rPr>
        <w:t xml:space="preserve">TEXTOS EM FONTE VERMELHA - </w:t>
      </w:r>
      <w:r w:rsidRPr="00E918B8">
        <w:rPr>
          <w:rFonts w:cs="Arial"/>
          <w:sz w:val="22"/>
          <w:szCs w:val="22"/>
        </w:rPr>
        <w:t>Texto variável que deverá ser preenchido pela Unidade/Órgão</w:t>
      </w:r>
      <w:r w:rsidR="00F20C26" w:rsidRPr="00E918B8">
        <w:rPr>
          <w:rFonts w:cs="Arial"/>
          <w:sz w:val="22"/>
          <w:szCs w:val="22"/>
        </w:rPr>
        <w:t>.</w:t>
      </w:r>
    </w:p>
    <w:p w14:paraId="56754C78" w14:textId="60F3A937" w:rsidR="0070191C" w:rsidRPr="00E918B8" w:rsidRDefault="0070191C" w:rsidP="00E918B8">
      <w:pPr>
        <w:pStyle w:val="PargrafodaLista"/>
        <w:numPr>
          <w:ilvl w:val="0"/>
          <w:numId w:val="5"/>
        </w:numPr>
        <w:shd w:val="clear" w:color="auto" w:fill="FFFFFF"/>
        <w:spacing w:before="120" w:after="120" w:line="312" w:lineRule="auto"/>
        <w:ind w:left="1134" w:hanging="425"/>
        <w:contextualSpacing w:val="0"/>
        <w:jc w:val="both"/>
        <w:rPr>
          <w:rFonts w:cs="Arial"/>
          <w:sz w:val="22"/>
          <w:szCs w:val="22"/>
        </w:rPr>
      </w:pPr>
      <w:r w:rsidRPr="00E918B8">
        <w:rPr>
          <w:rFonts w:cs="Arial"/>
          <w:sz w:val="22"/>
          <w:szCs w:val="22"/>
        </w:rPr>
        <w:t xml:space="preserve">As marcações em </w:t>
      </w:r>
      <w:r w:rsidR="00982DB6" w:rsidRPr="00E918B8">
        <w:rPr>
          <w:rFonts w:cs="Arial"/>
          <w:b/>
          <w:bCs/>
          <w:sz w:val="22"/>
          <w:szCs w:val="22"/>
          <w:highlight w:val="green"/>
        </w:rPr>
        <w:t>VERDE</w:t>
      </w:r>
      <w:r w:rsidRPr="00E918B8">
        <w:rPr>
          <w:rFonts w:cs="Arial"/>
          <w:sz w:val="22"/>
          <w:szCs w:val="22"/>
        </w:rPr>
        <w:t xml:space="preserve"> são itens opcionais/alternativos que devem ser avaliados pela </w:t>
      </w:r>
      <w:r w:rsidR="00F20C26" w:rsidRPr="00E918B8">
        <w:rPr>
          <w:rFonts w:cs="Arial"/>
          <w:sz w:val="22"/>
          <w:szCs w:val="22"/>
        </w:rPr>
        <w:t>U</w:t>
      </w:r>
      <w:r w:rsidRPr="00E918B8">
        <w:rPr>
          <w:rFonts w:cs="Arial"/>
          <w:sz w:val="22"/>
          <w:szCs w:val="22"/>
        </w:rPr>
        <w:t>nidade/</w:t>
      </w:r>
      <w:r w:rsidR="00F20C26" w:rsidRPr="00E918B8">
        <w:rPr>
          <w:rFonts w:cs="Arial"/>
          <w:sz w:val="22"/>
          <w:szCs w:val="22"/>
        </w:rPr>
        <w:t>Ó</w:t>
      </w:r>
      <w:r w:rsidRPr="00E918B8">
        <w:rPr>
          <w:rFonts w:cs="Arial"/>
          <w:sz w:val="22"/>
          <w:szCs w:val="22"/>
        </w:rPr>
        <w:t>rgão.</w:t>
      </w:r>
    </w:p>
    <w:p w14:paraId="5AEF60B1" w14:textId="56CF6586" w:rsidR="0086525B" w:rsidRPr="00E918B8" w:rsidRDefault="00AA5E3E" w:rsidP="00E918B8">
      <w:pPr>
        <w:pStyle w:val="PargrafodaLista"/>
        <w:numPr>
          <w:ilvl w:val="1"/>
          <w:numId w:val="11"/>
        </w:numPr>
        <w:suppressAutoHyphens w:val="0"/>
        <w:autoSpaceDE w:val="0"/>
        <w:autoSpaceDN w:val="0"/>
        <w:adjustRightInd w:val="0"/>
        <w:spacing w:before="120" w:after="120" w:line="312" w:lineRule="auto"/>
        <w:ind w:left="1134" w:hanging="567"/>
        <w:contextualSpacing w:val="0"/>
        <w:jc w:val="both"/>
        <w:rPr>
          <w:rFonts w:cs="Arial"/>
          <w:bCs/>
          <w:sz w:val="22"/>
          <w:szCs w:val="22"/>
        </w:rPr>
      </w:pPr>
      <w:bookmarkStart w:id="2" w:name="_Hlk159049480"/>
      <w:r w:rsidRPr="00E918B8">
        <w:rPr>
          <w:rFonts w:cs="Arial"/>
          <w:b/>
          <w:bCs/>
          <w:sz w:val="22"/>
          <w:szCs w:val="22"/>
        </w:rPr>
        <w:t xml:space="preserve">Variações no </w:t>
      </w:r>
      <w:r w:rsidR="0086525B" w:rsidRPr="00E918B8">
        <w:rPr>
          <w:rFonts w:cs="Arial"/>
          <w:b/>
          <w:bCs/>
          <w:sz w:val="22"/>
          <w:szCs w:val="22"/>
        </w:rPr>
        <w:t>caso de contratos de fornecimento</w:t>
      </w:r>
      <w:r w:rsidRPr="00E918B8">
        <w:rPr>
          <w:rFonts w:cs="Arial"/>
          <w:b/>
          <w:bCs/>
          <w:sz w:val="22"/>
          <w:szCs w:val="22"/>
        </w:rPr>
        <w:t>.</w:t>
      </w:r>
      <w:r w:rsidRPr="00E918B8">
        <w:rPr>
          <w:rFonts w:cs="Arial"/>
          <w:sz w:val="22"/>
          <w:szCs w:val="22"/>
        </w:rPr>
        <w:t xml:space="preserve"> Esta minuta abrange alternativas de redação para as hipóteses de </w:t>
      </w:r>
      <w:r w:rsidR="005F031E" w:rsidRPr="00E918B8">
        <w:rPr>
          <w:rFonts w:cs="Arial"/>
          <w:sz w:val="22"/>
          <w:szCs w:val="22"/>
        </w:rPr>
        <w:t>fornecimento</w:t>
      </w:r>
      <w:r w:rsidRPr="00E918B8">
        <w:rPr>
          <w:rFonts w:cs="Arial"/>
          <w:sz w:val="22"/>
          <w:szCs w:val="22"/>
        </w:rPr>
        <w:t xml:space="preserve"> por</w:t>
      </w:r>
      <w:r w:rsidR="005F031E" w:rsidRPr="00E918B8">
        <w:rPr>
          <w:rFonts w:cs="Arial"/>
          <w:sz w:val="22"/>
          <w:szCs w:val="22"/>
        </w:rPr>
        <w:t xml:space="preserve"> tipo de execução (escopo / </w:t>
      </w:r>
      <w:r w:rsidRPr="00E918B8">
        <w:rPr>
          <w:rFonts w:cs="Arial"/>
          <w:sz w:val="22"/>
          <w:szCs w:val="22"/>
        </w:rPr>
        <w:t>contínuos</w:t>
      </w:r>
      <w:r w:rsidR="005F031E" w:rsidRPr="00E918B8">
        <w:rPr>
          <w:rFonts w:cs="Arial"/>
          <w:sz w:val="22"/>
          <w:szCs w:val="22"/>
        </w:rPr>
        <w:t>)</w:t>
      </w:r>
      <w:r w:rsidRPr="00E918B8">
        <w:rPr>
          <w:rFonts w:cs="Arial"/>
          <w:sz w:val="22"/>
          <w:szCs w:val="22"/>
        </w:rPr>
        <w:t xml:space="preserve">. No caso concreto, a Unidade/Órgão deve verificar as características do objeto </w:t>
      </w:r>
      <w:r w:rsidR="0086525B" w:rsidRPr="00E918B8">
        <w:rPr>
          <w:rFonts w:cs="Arial"/>
          <w:sz w:val="22"/>
          <w:szCs w:val="22"/>
        </w:rPr>
        <w:t>a ser contratado</w:t>
      </w:r>
      <w:r w:rsidRPr="00E918B8">
        <w:rPr>
          <w:rFonts w:cs="Arial"/>
          <w:sz w:val="22"/>
          <w:szCs w:val="22"/>
        </w:rPr>
        <w:t xml:space="preserve">, para efetuar os ajustes correspondentes à alternativa adequada nas respectivas minutas a serem utilizadas, </w:t>
      </w:r>
      <w:r w:rsidR="00A35165" w:rsidRPr="00E918B8">
        <w:rPr>
          <w:rFonts w:cs="Arial"/>
          <w:sz w:val="22"/>
          <w:szCs w:val="22"/>
        </w:rPr>
        <w:t xml:space="preserve">promovendo as adequações de texto </w:t>
      </w:r>
      <w:r w:rsidR="0070191C" w:rsidRPr="00E918B8">
        <w:rPr>
          <w:rFonts w:cs="Arial"/>
          <w:sz w:val="22"/>
          <w:szCs w:val="22"/>
        </w:rPr>
        <w:t>pertinentes.</w:t>
      </w:r>
    </w:p>
    <w:bookmarkEnd w:id="2"/>
    <w:p w14:paraId="4A44C543" w14:textId="7B120ABE" w:rsidR="00BF5E35" w:rsidRPr="00E918B8" w:rsidRDefault="00BF5E35" w:rsidP="00E918B8">
      <w:pPr>
        <w:pStyle w:val="PargrafodaLista"/>
        <w:numPr>
          <w:ilvl w:val="1"/>
          <w:numId w:val="11"/>
        </w:numPr>
        <w:suppressAutoHyphens w:val="0"/>
        <w:autoSpaceDE w:val="0"/>
        <w:autoSpaceDN w:val="0"/>
        <w:adjustRightInd w:val="0"/>
        <w:spacing w:before="120" w:after="120" w:line="312" w:lineRule="auto"/>
        <w:ind w:left="1134" w:hanging="567"/>
        <w:contextualSpacing w:val="0"/>
        <w:jc w:val="both"/>
        <w:rPr>
          <w:rFonts w:cs="Arial"/>
          <w:bCs/>
          <w:sz w:val="22"/>
          <w:szCs w:val="22"/>
        </w:rPr>
      </w:pPr>
      <w:r w:rsidRPr="00E918B8">
        <w:rPr>
          <w:rFonts w:cs="Arial"/>
          <w:sz w:val="22"/>
          <w:szCs w:val="22"/>
        </w:rPr>
        <w:t xml:space="preserve">Há </w:t>
      </w:r>
      <w:r w:rsidR="0070191C" w:rsidRPr="00E918B8">
        <w:rPr>
          <w:rFonts w:cs="Arial"/>
          <w:sz w:val="22"/>
          <w:szCs w:val="22"/>
        </w:rPr>
        <w:t xml:space="preserve">dois </w:t>
      </w:r>
      <w:r w:rsidRPr="00E918B8">
        <w:rPr>
          <w:rFonts w:cs="Arial"/>
          <w:sz w:val="22"/>
          <w:szCs w:val="22"/>
        </w:rPr>
        <w:t xml:space="preserve">tipos de contratação para </w:t>
      </w:r>
      <w:r w:rsidR="0086525B" w:rsidRPr="00E918B8">
        <w:rPr>
          <w:rFonts w:cs="Arial"/>
          <w:sz w:val="22"/>
          <w:szCs w:val="22"/>
        </w:rPr>
        <w:t>fornecimento</w:t>
      </w:r>
      <w:r w:rsidRPr="00E918B8">
        <w:rPr>
          <w:rFonts w:cs="Arial"/>
          <w:sz w:val="22"/>
          <w:szCs w:val="22"/>
        </w:rPr>
        <w:t xml:space="preserve"> de bens,</w:t>
      </w:r>
      <w:r w:rsidR="001A7D31" w:rsidRPr="00E918B8">
        <w:rPr>
          <w:rFonts w:cs="Arial"/>
          <w:sz w:val="22"/>
          <w:szCs w:val="22"/>
        </w:rPr>
        <w:t xml:space="preserve"> com reflexos na vigência e em créditos orçamentários</w:t>
      </w:r>
      <w:r w:rsidRPr="00E918B8">
        <w:rPr>
          <w:rFonts w:cs="Arial"/>
          <w:sz w:val="22"/>
          <w:szCs w:val="22"/>
        </w:rPr>
        <w:t xml:space="preserve">: </w:t>
      </w:r>
    </w:p>
    <w:p w14:paraId="2118E2ED" w14:textId="5E4A9736" w:rsidR="001522A6" w:rsidRPr="00E918B8" w:rsidRDefault="00BF5E35" w:rsidP="00E918B8">
      <w:pPr>
        <w:pStyle w:val="pf0"/>
        <w:numPr>
          <w:ilvl w:val="0"/>
          <w:numId w:val="12"/>
        </w:numPr>
        <w:spacing w:before="120" w:beforeAutospacing="0" w:after="120" w:afterAutospacing="0" w:line="312" w:lineRule="auto"/>
        <w:ind w:left="1560" w:hanging="426"/>
        <w:jc w:val="both"/>
        <w:rPr>
          <w:rStyle w:val="cf11"/>
          <w:rFonts w:ascii="Arial" w:hAnsi="Arial" w:cs="Arial"/>
          <w:i w:val="0"/>
          <w:iCs w:val="0"/>
          <w:sz w:val="22"/>
          <w:szCs w:val="22"/>
        </w:rPr>
      </w:pPr>
      <w:r w:rsidRPr="00E918B8">
        <w:rPr>
          <w:rStyle w:val="cf11"/>
          <w:rFonts w:ascii="Arial" w:hAnsi="Arial" w:cs="Arial"/>
          <w:i w:val="0"/>
          <w:iCs w:val="0"/>
          <w:sz w:val="22"/>
          <w:szCs w:val="22"/>
        </w:rPr>
        <w:t xml:space="preserve">Há </w:t>
      </w:r>
      <w:r w:rsidR="001A7D31" w:rsidRPr="00E918B8">
        <w:rPr>
          <w:rStyle w:val="cf11"/>
          <w:rFonts w:ascii="Arial" w:hAnsi="Arial" w:cs="Arial"/>
          <w:b/>
          <w:bCs/>
          <w:i w:val="0"/>
          <w:iCs w:val="0"/>
          <w:sz w:val="22"/>
          <w:szCs w:val="22"/>
        </w:rPr>
        <w:t>FORNECIMENTO NÃO-CONTÍNUO</w:t>
      </w:r>
      <w:r w:rsidR="001A7D31" w:rsidRPr="00E918B8">
        <w:rPr>
          <w:rStyle w:val="cf11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E918B8">
        <w:rPr>
          <w:rStyle w:val="cf11"/>
          <w:rFonts w:ascii="Arial" w:hAnsi="Arial" w:cs="Arial"/>
          <w:i w:val="0"/>
          <w:iCs w:val="0"/>
          <w:sz w:val="22"/>
          <w:szCs w:val="22"/>
        </w:rPr>
        <w:t xml:space="preserve">quando se trata de uma entrega de bens sem que haja uma demanda de caráter permanente. Uma vez finalizada a entrega, resolve-se a necessidade que deu </w:t>
      </w:r>
      <w:r w:rsidR="00B2121F" w:rsidRPr="00E918B8">
        <w:rPr>
          <w:rStyle w:val="cf11"/>
          <w:rFonts w:ascii="Arial" w:hAnsi="Arial" w:cs="Arial"/>
          <w:i w:val="0"/>
          <w:iCs w:val="0"/>
          <w:sz w:val="22"/>
          <w:szCs w:val="22"/>
        </w:rPr>
        <w:t xml:space="preserve">origem </w:t>
      </w:r>
      <w:r w:rsidRPr="00E918B8">
        <w:rPr>
          <w:rStyle w:val="cf11"/>
          <w:rFonts w:ascii="Arial" w:hAnsi="Arial" w:cs="Arial"/>
          <w:i w:val="0"/>
          <w:iCs w:val="0"/>
          <w:sz w:val="22"/>
          <w:szCs w:val="22"/>
        </w:rPr>
        <w:t>ao contrato. Estes usam o art. 105</w:t>
      </w:r>
      <w:r w:rsidR="00706935">
        <w:rPr>
          <w:rStyle w:val="cf11"/>
          <w:rFonts w:ascii="Arial" w:hAnsi="Arial" w:cs="Arial"/>
          <w:i w:val="0"/>
          <w:iCs w:val="0"/>
          <w:sz w:val="22"/>
          <w:szCs w:val="22"/>
        </w:rPr>
        <w:t>,</w:t>
      </w:r>
      <w:r w:rsidRPr="00E918B8">
        <w:rPr>
          <w:rStyle w:val="cf11"/>
          <w:rFonts w:ascii="Arial" w:hAnsi="Arial" w:cs="Arial"/>
          <w:i w:val="0"/>
          <w:iCs w:val="0"/>
          <w:sz w:val="22"/>
          <w:szCs w:val="22"/>
        </w:rPr>
        <w:t xml:space="preserve"> da Lei nº 14.133, de 2021, como fundamento e partem apenas de créditos do exercício corrente, salvo se inscritos no Plano Plurianual. </w:t>
      </w:r>
    </w:p>
    <w:p w14:paraId="695B8F7E" w14:textId="6E97E807" w:rsidR="00BF5E35" w:rsidRPr="00E918B8" w:rsidRDefault="00BF5E35" w:rsidP="00E918B8">
      <w:pPr>
        <w:pStyle w:val="pf0"/>
        <w:numPr>
          <w:ilvl w:val="0"/>
          <w:numId w:val="12"/>
        </w:numPr>
        <w:spacing w:before="120" w:beforeAutospacing="0" w:after="120" w:afterAutospacing="0" w:line="312" w:lineRule="auto"/>
        <w:ind w:left="1560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E918B8">
        <w:rPr>
          <w:rStyle w:val="cf11"/>
          <w:rFonts w:ascii="Arial" w:hAnsi="Arial" w:cs="Arial"/>
          <w:i w:val="0"/>
          <w:iCs w:val="0"/>
          <w:sz w:val="22"/>
          <w:szCs w:val="22"/>
        </w:rPr>
        <w:t xml:space="preserve">Há </w:t>
      </w:r>
      <w:r w:rsidR="001A7D31" w:rsidRPr="00E918B8">
        <w:rPr>
          <w:rStyle w:val="cf11"/>
          <w:rFonts w:ascii="Arial" w:hAnsi="Arial" w:cs="Arial"/>
          <w:b/>
          <w:bCs/>
          <w:i w:val="0"/>
          <w:iCs w:val="0"/>
          <w:sz w:val="22"/>
          <w:szCs w:val="22"/>
        </w:rPr>
        <w:t>FORNECIMENTO CONTÍNUO</w:t>
      </w:r>
      <w:r w:rsidR="001A7D31" w:rsidRPr="00E918B8">
        <w:rPr>
          <w:rStyle w:val="cf11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E918B8">
        <w:rPr>
          <w:rStyle w:val="cf11"/>
          <w:rFonts w:ascii="Arial" w:hAnsi="Arial" w:cs="Arial"/>
          <w:i w:val="0"/>
          <w:iCs w:val="0"/>
          <w:sz w:val="22"/>
          <w:szCs w:val="22"/>
        </w:rPr>
        <w:t xml:space="preserve">quando a entrega dos bens é uma necessidade permanente. É o caso, por exemplo, de unidades hospitalares que demandam sempre insumos de saúde específicos para seu próprio funcionamento contínuo. Nessas situações, findado o </w:t>
      </w:r>
      <w:r w:rsidRPr="00E918B8">
        <w:rPr>
          <w:rStyle w:val="cf11"/>
          <w:rFonts w:ascii="Arial" w:hAnsi="Arial" w:cs="Arial"/>
          <w:i w:val="0"/>
          <w:iCs w:val="0"/>
          <w:sz w:val="22"/>
          <w:szCs w:val="22"/>
        </w:rPr>
        <w:lastRenderedPageBreak/>
        <w:t>contrato, haverá sua substituição por um novo e assim, sucessivamente, pois a necessidade em si é permanente. Contratações dessa natureza são atendidas pelo art. 106</w:t>
      </w:r>
      <w:r w:rsidR="00706935">
        <w:rPr>
          <w:rStyle w:val="cf11"/>
          <w:rFonts w:ascii="Arial" w:hAnsi="Arial" w:cs="Arial"/>
          <w:i w:val="0"/>
          <w:iCs w:val="0"/>
          <w:sz w:val="22"/>
          <w:szCs w:val="22"/>
        </w:rPr>
        <w:t>,</w:t>
      </w:r>
      <w:r w:rsidRPr="00E918B8">
        <w:rPr>
          <w:rStyle w:val="cf11"/>
          <w:rFonts w:ascii="Arial" w:hAnsi="Arial" w:cs="Arial"/>
          <w:i w:val="0"/>
          <w:iCs w:val="0"/>
          <w:sz w:val="22"/>
          <w:szCs w:val="22"/>
        </w:rPr>
        <w:t xml:space="preserve"> da Lei nº 14.133, de 2021. </w:t>
      </w:r>
    </w:p>
    <w:p w14:paraId="306491DE" w14:textId="6572CBE2" w:rsidR="00BF5E35" w:rsidRPr="00E918B8" w:rsidRDefault="00BF5E35" w:rsidP="00E918B8">
      <w:pPr>
        <w:pStyle w:val="pf0"/>
        <w:spacing w:before="120" w:beforeAutospacing="0" w:after="120" w:afterAutospacing="0" w:line="312" w:lineRule="auto"/>
        <w:ind w:left="993"/>
        <w:jc w:val="both"/>
        <w:rPr>
          <w:rFonts w:ascii="Arial" w:hAnsi="Arial" w:cs="Arial"/>
          <w:i/>
          <w:iCs/>
          <w:sz w:val="22"/>
          <w:szCs w:val="22"/>
        </w:rPr>
      </w:pPr>
      <w:r w:rsidRPr="00E918B8">
        <w:rPr>
          <w:rStyle w:val="cf11"/>
          <w:rFonts w:ascii="Arial" w:hAnsi="Arial" w:cs="Arial"/>
          <w:i w:val="0"/>
          <w:iCs w:val="0"/>
          <w:sz w:val="22"/>
          <w:szCs w:val="22"/>
        </w:rPr>
        <w:t xml:space="preserve">Incumbe à área </w:t>
      </w:r>
      <w:r w:rsidR="001A7D31" w:rsidRPr="00E918B8">
        <w:rPr>
          <w:rStyle w:val="cf11"/>
          <w:rFonts w:ascii="Arial" w:hAnsi="Arial" w:cs="Arial"/>
          <w:i w:val="0"/>
          <w:iCs w:val="0"/>
          <w:sz w:val="22"/>
          <w:szCs w:val="22"/>
        </w:rPr>
        <w:t>responsável por adequar referido Termo de Contrato</w:t>
      </w:r>
      <w:r w:rsidRPr="00E918B8">
        <w:rPr>
          <w:rStyle w:val="cf11"/>
          <w:rFonts w:ascii="Arial" w:hAnsi="Arial" w:cs="Arial"/>
          <w:i w:val="0"/>
          <w:iCs w:val="0"/>
          <w:sz w:val="22"/>
          <w:szCs w:val="22"/>
        </w:rPr>
        <w:t xml:space="preserve"> enquadrar a contratação como não-contínua ou contínua. Reputando-a contínua, deve apor a justificativa para tal enquadramento</w:t>
      </w:r>
      <w:r w:rsidR="0010791A" w:rsidRPr="00E918B8">
        <w:rPr>
          <w:rStyle w:val="cf11"/>
          <w:rFonts w:ascii="Arial" w:hAnsi="Arial" w:cs="Arial"/>
          <w:i w:val="0"/>
          <w:iCs w:val="0"/>
          <w:sz w:val="22"/>
          <w:szCs w:val="22"/>
        </w:rPr>
        <w:t xml:space="preserve"> no Termo de Referência</w:t>
      </w:r>
      <w:r w:rsidRPr="00E918B8">
        <w:rPr>
          <w:rStyle w:val="cf11"/>
          <w:rFonts w:ascii="Arial" w:hAnsi="Arial" w:cs="Arial"/>
          <w:i w:val="0"/>
          <w:iCs w:val="0"/>
          <w:sz w:val="22"/>
          <w:szCs w:val="22"/>
        </w:rPr>
        <w:t xml:space="preserve">. </w:t>
      </w:r>
    </w:p>
    <w:p w14:paraId="2469DFA7" w14:textId="77777777" w:rsidR="00570378" w:rsidRPr="00E918B8" w:rsidRDefault="00570378" w:rsidP="00E918B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12" w:lineRule="auto"/>
        <w:ind w:left="567" w:hanging="567"/>
        <w:jc w:val="both"/>
        <w:rPr>
          <w:rFonts w:cs="Arial"/>
          <w:bCs/>
          <w:sz w:val="22"/>
          <w:szCs w:val="22"/>
        </w:rPr>
      </w:pPr>
      <w:r w:rsidRPr="00E918B8">
        <w:rPr>
          <w:rFonts w:cs="Arial"/>
          <w:b/>
          <w:sz w:val="22"/>
          <w:szCs w:val="22"/>
        </w:rPr>
        <w:t>ORIENTAÇÕES PARA USO DO MODELO</w:t>
      </w:r>
      <w:r w:rsidRPr="00E918B8">
        <w:rPr>
          <w:rFonts w:cs="Arial"/>
          <w:sz w:val="22"/>
          <w:szCs w:val="22"/>
        </w:rPr>
        <w:t xml:space="preserve"> </w:t>
      </w:r>
      <w:r w:rsidRPr="00E918B8">
        <w:rPr>
          <w:rFonts w:cs="Arial"/>
          <w:b/>
          <w:sz w:val="22"/>
          <w:szCs w:val="22"/>
        </w:rPr>
        <w:t>– LEITURA OBRIGATÓRIA</w:t>
      </w:r>
      <w:r w:rsidRPr="00E918B8">
        <w:rPr>
          <w:rFonts w:cs="Arial"/>
          <w:bCs/>
          <w:sz w:val="22"/>
          <w:szCs w:val="22"/>
        </w:rPr>
        <w:t>:</w:t>
      </w:r>
    </w:p>
    <w:p w14:paraId="0CB5D978" w14:textId="214351EF" w:rsidR="00570378" w:rsidRPr="00E918B8" w:rsidRDefault="00570378" w:rsidP="00E918B8">
      <w:pPr>
        <w:pStyle w:val="PargrafodaLista"/>
        <w:numPr>
          <w:ilvl w:val="1"/>
          <w:numId w:val="13"/>
        </w:numPr>
        <w:suppressAutoHyphens w:val="0"/>
        <w:autoSpaceDE w:val="0"/>
        <w:autoSpaceDN w:val="0"/>
        <w:adjustRightInd w:val="0"/>
        <w:spacing w:before="120" w:after="120" w:line="312" w:lineRule="auto"/>
        <w:ind w:left="1134" w:hanging="567"/>
        <w:contextualSpacing w:val="0"/>
        <w:jc w:val="both"/>
        <w:rPr>
          <w:rFonts w:cs="Arial"/>
          <w:b/>
          <w:bCs/>
          <w:sz w:val="22"/>
          <w:szCs w:val="22"/>
        </w:rPr>
      </w:pPr>
      <w:r w:rsidRPr="00E918B8">
        <w:rPr>
          <w:rFonts w:cs="Arial"/>
          <w:bCs/>
          <w:sz w:val="22"/>
          <w:szCs w:val="22"/>
        </w:rPr>
        <w:t xml:space="preserve">O modelo de </w:t>
      </w:r>
      <w:r w:rsidRPr="00E918B8">
        <w:rPr>
          <w:rFonts w:cs="Arial"/>
          <w:b/>
          <w:sz w:val="22"/>
          <w:szCs w:val="22"/>
        </w:rPr>
        <w:t>Contrato</w:t>
      </w:r>
      <w:r w:rsidRPr="00E918B8">
        <w:rPr>
          <w:rFonts w:cs="Arial"/>
          <w:bCs/>
          <w:sz w:val="22"/>
          <w:szCs w:val="22"/>
        </w:rPr>
        <w:t xml:space="preserve"> procura fornecer um ponto de partida para a definição do objeto e condições da contratação. </w:t>
      </w:r>
      <w:r w:rsidRPr="00E918B8">
        <w:rPr>
          <w:rFonts w:cs="Arial"/>
          <w:b/>
          <w:bCs/>
          <w:sz w:val="22"/>
          <w:szCs w:val="22"/>
        </w:rPr>
        <w:t>As cláusulas contidas nos modelos de minuta contratual, ao contrário do TR, foram feitas para sofrerem poucas alterações. No entanto, havendo a necessidade de modificações, remanesce plenamente possível assim proceder.</w:t>
      </w:r>
    </w:p>
    <w:p w14:paraId="3764953B" w14:textId="77777777" w:rsidR="00570378" w:rsidRPr="00E918B8" w:rsidRDefault="00570378" w:rsidP="00E918B8">
      <w:pPr>
        <w:pStyle w:val="PargrafodaLista"/>
        <w:numPr>
          <w:ilvl w:val="1"/>
          <w:numId w:val="13"/>
        </w:numPr>
        <w:suppressAutoHyphens w:val="0"/>
        <w:autoSpaceDE w:val="0"/>
        <w:autoSpaceDN w:val="0"/>
        <w:adjustRightInd w:val="0"/>
        <w:spacing w:before="120" w:after="120" w:line="312" w:lineRule="auto"/>
        <w:ind w:left="1134" w:hanging="567"/>
        <w:contextualSpacing w:val="0"/>
        <w:jc w:val="both"/>
        <w:rPr>
          <w:rFonts w:cs="Arial"/>
          <w:bCs/>
          <w:sz w:val="22"/>
          <w:szCs w:val="22"/>
        </w:rPr>
      </w:pPr>
      <w:r w:rsidRPr="00E918B8">
        <w:rPr>
          <w:rFonts w:cs="Arial"/>
          <w:bCs/>
          <w:sz w:val="22"/>
          <w:szCs w:val="22"/>
        </w:rPr>
        <w:t xml:space="preserve">A redação em preto consiste no que se espera ser invariável. Ela até pode sofrer modificações a depender do caso concreto, mas não são disposições feitas para variar. Por essa razão, </w:t>
      </w:r>
      <w:r w:rsidRPr="00E918B8">
        <w:rPr>
          <w:rFonts w:cs="Arial"/>
          <w:b/>
          <w:bCs/>
          <w:sz w:val="22"/>
          <w:szCs w:val="22"/>
        </w:rPr>
        <w:t>quaisquer modificações nas partes em preto, devem necessariamente ser justificadas nos autos</w:t>
      </w:r>
      <w:r w:rsidRPr="00E918B8">
        <w:rPr>
          <w:rFonts w:cs="Arial"/>
          <w:bCs/>
          <w:sz w:val="22"/>
          <w:szCs w:val="22"/>
        </w:rPr>
        <w:t xml:space="preserve">, sem prejuízo de eventual consulta à </w:t>
      </w:r>
      <w:r w:rsidRPr="00E918B8">
        <w:rPr>
          <w:rFonts w:cs="Arial"/>
          <w:b/>
          <w:sz w:val="22"/>
          <w:szCs w:val="22"/>
        </w:rPr>
        <w:t>PGUSP</w:t>
      </w:r>
      <w:r w:rsidRPr="00E918B8">
        <w:rPr>
          <w:rFonts w:cs="Arial"/>
          <w:bCs/>
          <w:sz w:val="22"/>
          <w:szCs w:val="22"/>
        </w:rPr>
        <w:t>, a depender da matéria.</w:t>
      </w:r>
    </w:p>
    <w:p w14:paraId="28BDBA99" w14:textId="4D222CE8" w:rsidR="00570378" w:rsidRPr="00E918B8" w:rsidRDefault="00570378" w:rsidP="00E918B8">
      <w:pPr>
        <w:pStyle w:val="PargrafodaLista"/>
        <w:numPr>
          <w:ilvl w:val="1"/>
          <w:numId w:val="13"/>
        </w:numPr>
        <w:suppressAutoHyphens w:val="0"/>
        <w:autoSpaceDE w:val="0"/>
        <w:autoSpaceDN w:val="0"/>
        <w:adjustRightInd w:val="0"/>
        <w:spacing w:before="120" w:after="120" w:line="312" w:lineRule="auto"/>
        <w:ind w:left="1134" w:hanging="567"/>
        <w:contextualSpacing w:val="0"/>
        <w:jc w:val="both"/>
        <w:rPr>
          <w:rFonts w:cs="Arial"/>
          <w:bCs/>
          <w:sz w:val="22"/>
          <w:szCs w:val="22"/>
        </w:rPr>
      </w:pPr>
      <w:r w:rsidRPr="00E918B8">
        <w:rPr>
          <w:rFonts w:cs="Arial"/>
          <w:b/>
          <w:bCs/>
          <w:sz w:val="22"/>
          <w:szCs w:val="22"/>
        </w:rPr>
        <w:t xml:space="preserve">Os itens deste modelo destacados em </w:t>
      </w:r>
      <w:r w:rsidRPr="002B7568">
        <w:rPr>
          <w:rFonts w:cs="Arial"/>
          <w:b/>
          <w:bCs/>
          <w:color w:val="FF0000"/>
          <w:sz w:val="22"/>
          <w:szCs w:val="22"/>
        </w:rPr>
        <w:t xml:space="preserve">vermelho </w:t>
      </w:r>
      <w:r w:rsidRPr="00E918B8">
        <w:rPr>
          <w:rFonts w:cs="Arial"/>
          <w:b/>
          <w:bCs/>
          <w:sz w:val="22"/>
          <w:szCs w:val="22"/>
        </w:rPr>
        <w:t xml:space="preserve">devem ser preenchidos ou adotados pelo </w:t>
      </w:r>
      <w:r w:rsidR="00044A63" w:rsidRPr="00E918B8">
        <w:rPr>
          <w:rFonts w:cs="Arial"/>
          <w:b/>
          <w:bCs/>
          <w:sz w:val="22"/>
          <w:szCs w:val="22"/>
        </w:rPr>
        <w:t>Unidade/Órgão</w:t>
      </w:r>
      <w:r w:rsidRPr="00E918B8">
        <w:rPr>
          <w:rFonts w:cs="Arial"/>
          <w:b/>
          <w:bCs/>
          <w:sz w:val="22"/>
          <w:szCs w:val="22"/>
        </w:rPr>
        <w:t xml:space="preserve"> segundo critérios de oportunidade e conveniência</w:t>
      </w:r>
      <w:r w:rsidRPr="00E918B8">
        <w:rPr>
          <w:rFonts w:cs="Arial"/>
          <w:bCs/>
          <w:sz w:val="22"/>
          <w:szCs w:val="22"/>
        </w:rPr>
        <w:t>, de acordo com as peculiaridades do objeto e cuidando-se para que sejam reproduzidas as mesmas definições nos demais instrumentos da contratação (minuta de Termo de Referência</w:t>
      </w:r>
      <w:r w:rsidR="00874BE8">
        <w:rPr>
          <w:rFonts w:cs="Arial"/>
          <w:bCs/>
          <w:sz w:val="22"/>
          <w:szCs w:val="22"/>
        </w:rPr>
        <w:t xml:space="preserve">, </w:t>
      </w:r>
      <w:proofErr w:type="gramStart"/>
      <w:r w:rsidR="00874BE8">
        <w:rPr>
          <w:rFonts w:cs="Arial"/>
          <w:bCs/>
          <w:sz w:val="22"/>
          <w:szCs w:val="22"/>
        </w:rPr>
        <w:t>Justificativa</w:t>
      </w:r>
      <w:proofErr w:type="gramEnd"/>
      <w:r w:rsidR="00874BE8">
        <w:rPr>
          <w:rFonts w:cs="Arial"/>
          <w:bCs/>
          <w:sz w:val="22"/>
          <w:szCs w:val="22"/>
        </w:rPr>
        <w:t xml:space="preserve"> técnica para contratação direta</w:t>
      </w:r>
      <w:r w:rsidRPr="00E918B8">
        <w:rPr>
          <w:rFonts w:cs="Arial"/>
          <w:bCs/>
          <w:sz w:val="22"/>
          <w:szCs w:val="22"/>
        </w:rPr>
        <w:t>), para que não conflitem. São previsões feitas para variarem. Eventuais justificativas podem ser exigidas a depender do caso.</w:t>
      </w:r>
    </w:p>
    <w:p w14:paraId="11AC41F9" w14:textId="77777777" w:rsidR="00570378" w:rsidRPr="00E918B8" w:rsidRDefault="00570378" w:rsidP="00E918B8">
      <w:pPr>
        <w:pStyle w:val="PargrafodaLista"/>
        <w:numPr>
          <w:ilvl w:val="1"/>
          <w:numId w:val="13"/>
        </w:numPr>
        <w:suppressAutoHyphens w:val="0"/>
        <w:autoSpaceDE w:val="0"/>
        <w:autoSpaceDN w:val="0"/>
        <w:adjustRightInd w:val="0"/>
        <w:spacing w:before="120" w:after="120" w:line="312" w:lineRule="auto"/>
        <w:ind w:left="1134" w:hanging="567"/>
        <w:contextualSpacing w:val="0"/>
        <w:jc w:val="both"/>
        <w:rPr>
          <w:rFonts w:cs="Arial"/>
          <w:bCs/>
          <w:sz w:val="22"/>
          <w:szCs w:val="22"/>
        </w:rPr>
      </w:pPr>
      <w:r w:rsidRPr="00E918B8">
        <w:rPr>
          <w:rFonts w:cs="Arial"/>
          <w:b/>
          <w:bCs/>
          <w:sz w:val="22"/>
          <w:szCs w:val="22"/>
        </w:rPr>
        <w:t>Alguns itens receberam notas explicativas, destacadas para compreensão do agente ou setor responsável pela elaboração da Minuta Contratual</w:t>
      </w:r>
      <w:r w:rsidRPr="00E918B8">
        <w:rPr>
          <w:rFonts w:cs="Arial"/>
          <w:bCs/>
          <w:sz w:val="22"/>
          <w:szCs w:val="22"/>
        </w:rPr>
        <w:t>, que deverão ser devidamente suprimidas ao se finalizar o documento na versão original.</w:t>
      </w:r>
    </w:p>
    <w:p w14:paraId="66442EC1" w14:textId="7B36893A" w:rsidR="00570378" w:rsidRPr="00E918B8" w:rsidRDefault="00570378" w:rsidP="00E918B8">
      <w:pPr>
        <w:pStyle w:val="PargrafodaLista"/>
        <w:numPr>
          <w:ilvl w:val="1"/>
          <w:numId w:val="13"/>
        </w:numPr>
        <w:suppressAutoHyphens w:val="0"/>
        <w:autoSpaceDE w:val="0"/>
        <w:autoSpaceDN w:val="0"/>
        <w:adjustRightInd w:val="0"/>
        <w:spacing w:before="120" w:after="120" w:line="312" w:lineRule="auto"/>
        <w:ind w:left="1134" w:hanging="567"/>
        <w:contextualSpacing w:val="0"/>
        <w:jc w:val="both"/>
        <w:rPr>
          <w:rFonts w:cs="Arial"/>
          <w:bCs/>
          <w:sz w:val="22"/>
          <w:szCs w:val="22"/>
        </w:rPr>
      </w:pPr>
      <w:r w:rsidRPr="00E918B8">
        <w:rPr>
          <w:rFonts w:cs="Arial"/>
          <w:b/>
          <w:bCs/>
          <w:sz w:val="22"/>
          <w:szCs w:val="22"/>
        </w:rPr>
        <w:t>Recomenda-se indicar no processo a versão (mês e ano) utilizada para elaboração da minuta</w:t>
      </w:r>
      <w:r w:rsidRPr="00E918B8">
        <w:rPr>
          <w:rFonts w:cs="Arial"/>
          <w:bCs/>
          <w:sz w:val="22"/>
          <w:szCs w:val="22"/>
        </w:rPr>
        <w:t>, em especial ao encaminhar o feito para análise jurídica. Tal informação consta no rodapé do documento. Essa indicação pode ocorrer expressamente no despacho de encaminhamento ou mantendo-se o rodapé na minuta encaminhada, conforme o caso. É um dado importante já que indica qual o parâmetro a ser utilizado em eventual checagem.</w:t>
      </w:r>
    </w:p>
    <w:sectPr w:rsidR="00570378" w:rsidRPr="00E918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F08B" w14:textId="77777777" w:rsidR="004D134E" w:rsidRDefault="004D134E" w:rsidP="00250550">
      <w:r>
        <w:separator/>
      </w:r>
    </w:p>
  </w:endnote>
  <w:endnote w:type="continuationSeparator" w:id="0">
    <w:p w14:paraId="21507800" w14:textId="77777777" w:rsidR="004D134E" w:rsidRDefault="004D134E" w:rsidP="0025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2289" w14:textId="77777777" w:rsidR="00B3452C" w:rsidRDefault="00B345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16"/>
        <w:szCs w:val="16"/>
      </w:rPr>
      <w:id w:val="-1454553500"/>
      <w:docPartObj>
        <w:docPartGallery w:val="Page Numbers (Bottom of Page)"/>
        <w:docPartUnique/>
      </w:docPartObj>
    </w:sdtPr>
    <w:sdtEndPr/>
    <w:sdtContent>
      <w:p w14:paraId="642C9EB6" w14:textId="2FC93299" w:rsidR="007F2246" w:rsidRPr="005C73C4" w:rsidRDefault="007F2246">
        <w:pPr>
          <w:pStyle w:val="Rodap"/>
          <w:jc w:val="right"/>
          <w:rPr>
            <w:b/>
            <w:bCs/>
            <w:sz w:val="16"/>
            <w:szCs w:val="16"/>
          </w:rPr>
        </w:pPr>
        <w:r w:rsidRPr="005C73C4">
          <w:rPr>
            <w:b/>
            <w:bCs/>
            <w:sz w:val="16"/>
            <w:szCs w:val="16"/>
          </w:rPr>
          <w:fldChar w:fldCharType="begin"/>
        </w:r>
        <w:r w:rsidRPr="005C73C4">
          <w:rPr>
            <w:b/>
            <w:bCs/>
            <w:sz w:val="16"/>
            <w:szCs w:val="16"/>
          </w:rPr>
          <w:instrText>PAGE   \* MERGEFORMAT</w:instrText>
        </w:r>
        <w:r w:rsidRPr="005C73C4">
          <w:rPr>
            <w:b/>
            <w:bCs/>
            <w:sz w:val="16"/>
            <w:szCs w:val="16"/>
          </w:rPr>
          <w:fldChar w:fldCharType="separate"/>
        </w:r>
        <w:r w:rsidRPr="005C73C4">
          <w:rPr>
            <w:b/>
            <w:bCs/>
            <w:sz w:val="16"/>
            <w:szCs w:val="16"/>
          </w:rPr>
          <w:t>2</w:t>
        </w:r>
        <w:r w:rsidRPr="005C73C4">
          <w:rPr>
            <w:b/>
            <w:bCs/>
            <w:sz w:val="16"/>
            <w:szCs w:val="16"/>
          </w:rPr>
          <w:fldChar w:fldCharType="end"/>
        </w:r>
      </w:p>
    </w:sdtContent>
  </w:sdt>
  <w:p w14:paraId="3C89940A" w14:textId="3BF150F0" w:rsidR="007F2246" w:rsidRPr="005C73C4" w:rsidRDefault="002B7568">
    <w:pPr>
      <w:pStyle w:val="Rodap"/>
      <w:rPr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</w:t>
    </w:r>
    <w:r w:rsidR="005C73C4" w:rsidRPr="005C73C4">
      <w:rPr>
        <w:rFonts w:cs="Arial"/>
        <w:b/>
        <w:bCs/>
        <w:sz w:val="16"/>
        <w:szCs w:val="16"/>
      </w:rPr>
      <w:t>nstruções</w:t>
    </w:r>
    <w:r w:rsidR="00B3452C">
      <w:rPr>
        <w:rFonts w:cs="Arial"/>
        <w:b/>
        <w:bCs/>
        <w:sz w:val="16"/>
        <w:szCs w:val="16"/>
      </w:rPr>
      <w:t xml:space="preserve"> de Preenchimento</w:t>
    </w:r>
    <w:r w:rsidR="005C73C4" w:rsidRPr="005C73C4">
      <w:rPr>
        <w:rFonts w:cs="Arial"/>
        <w:b/>
        <w:bCs/>
        <w:sz w:val="16"/>
        <w:szCs w:val="16"/>
      </w:rPr>
      <w:t xml:space="preserve"> </w:t>
    </w:r>
    <w:r>
      <w:rPr>
        <w:rFonts w:cs="Arial"/>
        <w:b/>
        <w:bCs/>
        <w:sz w:val="16"/>
        <w:szCs w:val="16"/>
      </w:rPr>
      <w:t xml:space="preserve">- </w:t>
    </w:r>
    <w:r w:rsidR="005C593B">
      <w:rPr>
        <w:rFonts w:cs="Arial"/>
        <w:b/>
        <w:bCs/>
        <w:sz w:val="16"/>
        <w:szCs w:val="16"/>
      </w:rPr>
      <w:t>C</w:t>
    </w:r>
    <w:r w:rsidR="005C593B" w:rsidRPr="005C593B">
      <w:rPr>
        <w:rFonts w:cs="Arial"/>
        <w:b/>
        <w:bCs/>
        <w:sz w:val="16"/>
        <w:szCs w:val="16"/>
      </w:rPr>
      <w:t>ontrato Fornecimento</w:t>
    </w:r>
    <w:r w:rsidR="00B3452C">
      <w:rPr>
        <w:rFonts w:cs="Arial"/>
        <w:b/>
        <w:bCs/>
        <w:sz w:val="16"/>
        <w:szCs w:val="16"/>
      </w:rPr>
      <w:t xml:space="preserve"> de Produtos para Pesquisa (</w:t>
    </w:r>
    <w:r w:rsidR="006924A6">
      <w:rPr>
        <w:rFonts w:cs="Arial"/>
        <w:b/>
        <w:bCs/>
        <w:sz w:val="16"/>
        <w:szCs w:val="16"/>
      </w:rPr>
      <w:t>V 0</w:t>
    </w:r>
    <w:r w:rsidR="00B3452C">
      <w:rPr>
        <w:rFonts w:cs="Arial"/>
        <w:b/>
        <w:bCs/>
        <w:sz w:val="16"/>
        <w:szCs w:val="16"/>
      </w:rPr>
      <w:t xml:space="preserve">   </w:t>
    </w:r>
    <w:r w:rsidR="006924A6">
      <w:rPr>
        <w:rFonts w:cs="Arial"/>
        <w:b/>
        <w:bCs/>
        <w:sz w:val="16"/>
        <w:szCs w:val="16"/>
      </w:rPr>
      <w:t>.2024</w:t>
    </w:r>
    <w:r w:rsidR="00B3452C">
      <w:rPr>
        <w:rFonts w:cs="Arial"/>
        <w:b/>
        <w:bCs/>
        <w:sz w:val="16"/>
        <w:szCs w:val="16"/>
      </w:rPr>
      <w:t>)</w:t>
    </w:r>
    <w:r w:rsidR="005C593B" w:rsidRPr="005C593B">
      <w:rPr>
        <w:rFonts w:cs="Arial"/>
        <w:b/>
        <w:bCs/>
        <w:sz w:val="16"/>
        <w:szCs w:val="16"/>
      </w:rPr>
      <w:t xml:space="preserve"> </w:t>
    </w:r>
    <w:r w:rsidR="005C593B">
      <w:rPr>
        <w:rFonts w:cs="Arial"/>
        <w:b/>
        <w:bCs/>
        <w:sz w:val="16"/>
        <w:szCs w:val="16"/>
      </w:rPr>
      <w:t>-</w:t>
    </w:r>
    <w:r w:rsidR="005C593B" w:rsidRPr="005C593B">
      <w:rPr>
        <w:rFonts w:cs="Arial"/>
        <w:b/>
        <w:bCs/>
        <w:sz w:val="16"/>
        <w:szCs w:val="16"/>
      </w:rPr>
      <w:t xml:space="preserve"> Contratação Direta</w:t>
    </w:r>
    <w:r>
      <w:rPr>
        <w:rFonts w:cs="Arial"/>
        <w:b/>
        <w:bCs/>
        <w:sz w:val="16"/>
        <w:szCs w:val="16"/>
      </w:rPr>
      <w:t xml:space="preserve"> por </w:t>
    </w:r>
    <w:r w:rsidR="00B3452C">
      <w:rPr>
        <w:rFonts w:cs="Arial"/>
        <w:b/>
        <w:bCs/>
        <w:sz w:val="16"/>
        <w:szCs w:val="16"/>
      </w:rPr>
      <w:t>Dispensa de Licitação</w:t>
    </w:r>
    <w:r w:rsidR="005C593B" w:rsidRPr="005C593B">
      <w:rPr>
        <w:rFonts w:cs="Arial"/>
        <w:b/>
        <w:bCs/>
        <w:sz w:val="16"/>
        <w:szCs w:val="16"/>
      </w:rPr>
      <w:t xml:space="preserve"> - Lei nº 14.133, 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990F" w14:textId="77777777" w:rsidR="00B3452C" w:rsidRDefault="00B345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C4FF" w14:textId="77777777" w:rsidR="004D134E" w:rsidRDefault="004D134E" w:rsidP="00250550">
      <w:r>
        <w:separator/>
      </w:r>
    </w:p>
  </w:footnote>
  <w:footnote w:type="continuationSeparator" w:id="0">
    <w:p w14:paraId="4612991D" w14:textId="77777777" w:rsidR="004D134E" w:rsidRDefault="004D134E" w:rsidP="0025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6379" w14:textId="77777777" w:rsidR="00B3452C" w:rsidRDefault="00B345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3577" w14:textId="007F3F34" w:rsidR="0008674D" w:rsidRPr="00BE2A85" w:rsidRDefault="0008674D" w:rsidP="0008674D">
    <w:pPr>
      <w:tabs>
        <w:tab w:val="left" w:pos="-6804"/>
      </w:tabs>
      <w:spacing w:line="240" w:lineRule="atLeast"/>
      <w:ind w:left="567" w:right="-1"/>
      <w:jc w:val="center"/>
      <w:rPr>
        <w:rFonts w:ascii="Calibri" w:hAnsi="Calibri"/>
        <w:b/>
        <w:i/>
        <w:sz w:val="44"/>
        <w:szCs w:val="44"/>
      </w:rPr>
    </w:pPr>
    <w:r>
      <w:rPr>
        <w:b/>
        <w:i/>
        <w:sz w:val="40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2F7E2D00" wp14:editId="4E67D5BB">
          <wp:simplePos x="0" y="0"/>
          <wp:positionH relativeFrom="column">
            <wp:posOffset>-337820</wp:posOffset>
          </wp:positionH>
          <wp:positionV relativeFrom="paragraph">
            <wp:posOffset>-99060</wp:posOffset>
          </wp:positionV>
          <wp:extent cx="727075" cy="1043940"/>
          <wp:effectExtent l="0" t="0" r="0" b="3810"/>
          <wp:wrapNone/>
          <wp:docPr id="1897577996" name="Imagem 1" descr="http://www.esalq.usp.br/acom/EN_FB/brasao_us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://www.esalq.usp.br/acom/EN_FB/brasao_us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2A85">
      <w:rPr>
        <w:rFonts w:ascii="Calibri" w:hAnsi="Calibri"/>
        <w:b/>
        <w:i/>
        <w:sz w:val="44"/>
        <w:szCs w:val="44"/>
      </w:rPr>
      <w:t>UNIVERSIDADE DE SÃO PAULO</w:t>
    </w:r>
  </w:p>
  <w:p w14:paraId="0A4A5C83" w14:textId="0DA18982" w:rsidR="00250550" w:rsidRDefault="00250550">
    <w:pPr>
      <w:pStyle w:val="Cabealho"/>
    </w:pPr>
  </w:p>
  <w:p w14:paraId="5283E6A2" w14:textId="77777777" w:rsidR="0008674D" w:rsidRDefault="0008674D">
    <w:pPr>
      <w:pStyle w:val="Cabealho"/>
    </w:pPr>
  </w:p>
  <w:p w14:paraId="3D8F6BC9" w14:textId="77777777" w:rsidR="0008674D" w:rsidRDefault="0008674D">
    <w:pPr>
      <w:pStyle w:val="Cabealho"/>
    </w:pPr>
  </w:p>
  <w:p w14:paraId="6470C468" w14:textId="77777777" w:rsidR="0008674D" w:rsidRDefault="0008674D">
    <w:pPr>
      <w:pStyle w:val="Cabealho"/>
    </w:pPr>
  </w:p>
  <w:p w14:paraId="2EA1DEA4" w14:textId="77777777" w:rsidR="00250550" w:rsidRDefault="0025055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D395" w14:textId="77777777" w:rsidR="00B3452C" w:rsidRDefault="00B345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F18"/>
    <w:multiLevelType w:val="hybridMultilevel"/>
    <w:tmpl w:val="9620E7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2A70"/>
    <w:multiLevelType w:val="hybridMultilevel"/>
    <w:tmpl w:val="A192C8E0"/>
    <w:lvl w:ilvl="0" w:tplc="9C9A67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648F"/>
    <w:multiLevelType w:val="multilevel"/>
    <w:tmpl w:val="14CAD7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3" w15:restartNumberingAfterBreak="0">
    <w:nsid w:val="23BC176D"/>
    <w:multiLevelType w:val="hybridMultilevel"/>
    <w:tmpl w:val="083EB2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C7D4D"/>
    <w:multiLevelType w:val="multilevel"/>
    <w:tmpl w:val="995E10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5" w15:restartNumberingAfterBreak="0">
    <w:nsid w:val="38333B8C"/>
    <w:multiLevelType w:val="hybridMultilevel"/>
    <w:tmpl w:val="E95E3E2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638BF"/>
    <w:multiLevelType w:val="hybridMultilevel"/>
    <w:tmpl w:val="B72A5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64E3C"/>
    <w:multiLevelType w:val="multilevel"/>
    <w:tmpl w:val="34B2E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595E3DCD"/>
    <w:multiLevelType w:val="multilevel"/>
    <w:tmpl w:val="EFFE9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65B003F"/>
    <w:multiLevelType w:val="multilevel"/>
    <w:tmpl w:val="2DCEB1D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b/>
      </w:rPr>
    </w:lvl>
  </w:abstractNum>
  <w:abstractNum w:abstractNumId="10" w15:restartNumberingAfterBreak="0">
    <w:nsid w:val="748E4AB1"/>
    <w:multiLevelType w:val="hybridMultilevel"/>
    <w:tmpl w:val="32DC997E"/>
    <w:lvl w:ilvl="0" w:tplc="268AC8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B31C2"/>
    <w:multiLevelType w:val="hybridMultilevel"/>
    <w:tmpl w:val="2A7AD220"/>
    <w:lvl w:ilvl="0" w:tplc="C7A47244">
      <w:start w:val="1"/>
      <w:numFmt w:val="lowerLetter"/>
      <w:lvlText w:val="%1)"/>
      <w:lvlJc w:val="left"/>
      <w:pPr>
        <w:ind w:left="1070" w:hanging="71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E9"/>
    <w:rsid w:val="0001116F"/>
    <w:rsid w:val="00021F2B"/>
    <w:rsid w:val="00044A63"/>
    <w:rsid w:val="00057713"/>
    <w:rsid w:val="000615A0"/>
    <w:rsid w:val="0008674D"/>
    <w:rsid w:val="0010791A"/>
    <w:rsid w:val="001522A6"/>
    <w:rsid w:val="0018103A"/>
    <w:rsid w:val="001A7D31"/>
    <w:rsid w:val="001E6912"/>
    <w:rsid w:val="002477DE"/>
    <w:rsid w:val="00250550"/>
    <w:rsid w:val="00254042"/>
    <w:rsid w:val="00267462"/>
    <w:rsid w:val="00275A34"/>
    <w:rsid w:val="00290AC8"/>
    <w:rsid w:val="002B177D"/>
    <w:rsid w:val="002B34C3"/>
    <w:rsid w:val="002B7568"/>
    <w:rsid w:val="002D3063"/>
    <w:rsid w:val="002F630E"/>
    <w:rsid w:val="0033617E"/>
    <w:rsid w:val="00365185"/>
    <w:rsid w:val="00366298"/>
    <w:rsid w:val="00387FA7"/>
    <w:rsid w:val="003B0ADF"/>
    <w:rsid w:val="003E0F99"/>
    <w:rsid w:val="004011BE"/>
    <w:rsid w:val="00464DC9"/>
    <w:rsid w:val="00480777"/>
    <w:rsid w:val="004C30C7"/>
    <w:rsid w:val="004D134E"/>
    <w:rsid w:val="00560661"/>
    <w:rsid w:val="00570378"/>
    <w:rsid w:val="00583815"/>
    <w:rsid w:val="005A63F0"/>
    <w:rsid w:val="005C3001"/>
    <w:rsid w:val="005C4390"/>
    <w:rsid w:val="005C593B"/>
    <w:rsid w:val="005C73C4"/>
    <w:rsid w:val="005F031E"/>
    <w:rsid w:val="006006C2"/>
    <w:rsid w:val="00602302"/>
    <w:rsid w:val="006507B2"/>
    <w:rsid w:val="00651FC5"/>
    <w:rsid w:val="0066770B"/>
    <w:rsid w:val="00673E13"/>
    <w:rsid w:val="006924A6"/>
    <w:rsid w:val="006B09BC"/>
    <w:rsid w:val="006E235A"/>
    <w:rsid w:val="0070191C"/>
    <w:rsid w:val="00706935"/>
    <w:rsid w:val="0073707C"/>
    <w:rsid w:val="00750281"/>
    <w:rsid w:val="007600B5"/>
    <w:rsid w:val="00793941"/>
    <w:rsid w:val="00797D33"/>
    <w:rsid w:val="007E7CD6"/>
    <w:rsid w:val="007F1742"/>
    <w:rsid w:val="007F2246"/>
    <w:rsid w:val="00847BE6"/>
    <w:rsid w:val="0086525B"/>
    <w:rsid w:val="00874BE8"/>
    <w:rsid w:val="008A211B"/>
    <w:rsid w:val="008D0D60"/>
    <w:rsid w:val="0095385B"/>
    <w:rsid w:val="00960B22"/>
    <w:rsid w:val="00972398"/>
    <w:rsid w:val="00982DB6"/>
    <w:rsid w:val="009874A4"/>
    <w:rsid w:val="00A059E3"/>
    <w:rsid w:val="00A069A7"/>
    <w:rsid w:val="00A35165"/>
    <w:rsid w:val="00A41F64"/>
    <w:rsid w:val="00A500CC"/>
    <w:rsid w:val="00A666A0"/>
    <w:rsid w:val="00AA5E3E"/>
    <w:rsid w:val="00AD139E"/>
    <w:rsid w:val="00AE47C4"/>
    <w:rsid w:val="00B15AB1"/>
    <w:rsid w:val="00B2121F"/>
    <w:rsid w:val="00B3452C"/>
    <w:rsid w:val="00B450DF"/>
    <w:rsid w:val="00B93AFD"/>
    <w:rsid w:val="00BF5E35"/>
    <w:rsid w:val="00C533DA"/>
    <w:rsid w:val="00CB12E3"/>
    <w:rsid w:val="00CC1F43"/>
    <w:rsid w:val="00CD6C93"/>
    <w:rsid w:val="00D20E5C"/>
    <w:rsid w:val="00D86AF9"/>
    <w:rsid w:val="00D945BE"/>
    <w:rsid w:val="00E05171"/>
    <w:rsid w:val="00E2754E"/>
    <w:rsid w:val="00E7730E"/>
    <w:rsid w:val="00E823F6"/>
    <w:rsid w:val="00E918B8"/>
    <w:rsid w:val="00EC677F"/>
    <w:rsid w:val="00F20C26"/>
    <w:rsid w:val="00F352D8"/>
    <w:rsid w:val="00F4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D86C7"/>
  <w15:chartTrackingRefBased/>
  <w15:docId w15:val="{AD9E5D77-0924-4E9D-A210-E0505F64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E9"/>
    <w:pPr>
      <w:suppressAutoHyphens/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nhideWhenUsed/>
    <w:qFormat/>
    <w:rsid w:val="00F466E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466E9"/>
    <w:rPr>
      <w:rFonts w:ascii="Arial" w:eastAsia="Times New Roman" w:hAnsi="Arial" w:cs="Tahoma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F466E9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466E9"/>
    <w:rPr>
      <w:kern w:val="2"/>
      <w:szCs w:val="20"/>
      <w14:ligatures w14:val="standardContextual"/>
    </w:rPr>
  </w:style>
  <w:style w:type="character" w:customStyle="1" w:styleId="TextodecomentrioChar1">
    <w:name w:val="Texto de comentário Char1"/>
    <w:basedOn w:val="Fontepargpadro"/>
    <w:uiPriority w:val="99"/>
    <w:semiHidden/>
    <w:rsid w:val="00F466E9"/>
    <w:rPr>
      <w:rFonts w:ascii="Arial" w:eastAsia="Times New Roman" w:hAnsi="Arial" w:cs="Tahoma"/>
      <w:kern w:val="0"/>
      <w:sz w:val="20"/>
      <w:szCs w:val="20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rsid w:val="00F466E9"/>
    <w:rPr>
      <w:color w:val="808080"/>
    </w:rPr>
  </w:style>
  <w:style w:type="character" w:customStyle="1" w:styleId="PGE-Alteraesdestacadas">
    <w:name w:val="PGE - Alterações destacadas"/>
    <w:basedOn w:val="Fontepargpadro"/>
    <w:uiPriority w:val="1"/>
    <w:qFormat/>
    <w:rsid w:val="00F466E9"/>
    <w:rPr>
      <w:rFonts w:ascii="Arial" w:hAnsi="Arial"/>
      <w:b/>
      <w:color w:val="000000" w:themeColor="text1"/>
      <w:sz w:val="22"/>
      <w:u w:val="single"/>
    </w:rPr>
  </w:style>
  <w:style w:type="character" w:customStyle="1" w:styleId="PargrafodaListaChar">
    <w:name w:val="Parágrafo da Lista Char"/>
    <w:basedOn w:val="Fontepargpadro"/>
    <w:link w:val="PargrafodaLista"/>
    <w:rsid w:val="00F466E9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8381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58381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8103A"/>
    <w:pPr>
      <w:suppressAutoHyphens/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505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0550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505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0550"/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  <w:style w:type="paragraph" w:customStyle="1" w:styleId="pf0">
    <w:name w:val="pf0"/>
    <w:basedOn w:val="Normal"/>
    <w:rsid w:val="00BF5E35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cf01">
    <w:name w:val="cf01"/>
    <w:basedOn w:val="Fontepargpadro"/>
    <w:rsid w:val="00BF5E35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11">
    <w:name w:val="cf11"/>
    <w:basedOn w:val="Fontepargpadro"/>
    <w:rsid w:val="00BF5E35"/>
    <w:rPr>
      <w:rFonts w:ascii="Segoe UI" w:hAnsi="Segoe UI" w:cs="Segoe UI" w:hint="default"/>
      <w:i/>
      <w:iCs/>
      <w:sz w:val="18"/>
      <w:szCs w:val="18"/>
    </w:rPr>
  </w:style>
  <w:style w:type="paragraph" w:styleId="Reviso">
    <w:name w:val="Revision"/>
    <w:hidden/>
    <w:uiPriority w:val="99"/>
    <w:semiHidden/>
    <w:rsid w:val="002D3063"/>
    <w:pPr>
      <w:spacing w:after="0" w:line="240" w:lineRule="auto"/>
    </w:pPr>
    <w:rPr>
      <w:rFonts w:ascii="Arial" w:eastAsia="Times New Roman" w:hAnsi="Arial" w:cs="Tahoma"/>
      <w:kern w:val="0"/>
      <w:sz w:val="20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3F5BF-3F28-4D62-9447-907373E2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Campos</dc:creator>
  <cp:keywords/>
  <dc:description/>
  <cp:lastModifiedBy>Adriana Fragalle Moreira</cp:lastModifiedBy>
  <cp:revision>3</cp:revision>
  <cp:lastPrinted>2024-01-12T13:42:00Z</cp:lastPrinted>
  <dcterms:created xsi:type="dcterms:W3CDTF">2024-05-22T18:03:00Z</dcterms:created>
  <dcterms:modified xsi:type="dcterms:W3CDTF">2024-07-30T15:00:00Z</dcterms:modified>
</cp:coreProperties>
</file>