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nº 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VERIFICAÇÃO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LEILÃO - ARTIGOS 2º, IV, LEI 14.133/2021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Unidade/Órgão: 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estimado: R$ __________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 legal: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2º, inciso IV, da Lei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14.133/2021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268"/>
        <w:gridCol w:w="3118"/>
        <w:gridCol w:w="2693"/>
        <w:tblGridChange w:id="0">
          <w:tblGrid>
            <w:gridCol w:w="534"/>
            <w:gridCol w:w="2268"/>
            <w:gridCol w:w="3118"/>
            <w:gridCol w:w="269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 Autorização da autoridade competente para início da fase preparatória - Fls. _____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Competência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Fundamento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80" w:before="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80" w:before="80" w:lineRule="auto"/>
              <w:ind w:left="-176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Dirigentes de Unidades e Órgãos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Qualquer valor</w:t>
            </w:r>
          </w:p>
          <w:p w:rsidR="00000000" w:rsidDel="00000000" w:rsidP="00000000" w:rsidRDefault="00000000" w:rsidRPr="00000000" w14:paraId="00000017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Art. 1º, inciso I, alínea “a”, Portaria GR nº 8.321/2024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6"/>
        <w:gridCol w:w="1589"/>
        <w:gridCol w:w="1509"/>
        <w:tblGridChange w:id="0">
          <w:tblGrid>
            <w:gridCol w:w="5396"/>
            <w:gridCol w:w="1589"/>
            <w:gridCol w:w="150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 Documentação e informações iniciais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2.a – Abertura de processo administrativo, em forma eletrônica (SEI/SP)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__/__/____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2.b – Designação dos agentes públicos responsáveis pela fase preparatória, contratação, execução e fiscalização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(verificar regulamento USP)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2.c – Documento de formalização de demanda (DFD)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2.d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Estudo Técnico Preliminar (ETP)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contendo pelo menos:</w:t>
            </w:r>
          </w:p>
          <w:p w:rsidR="00000000" w:rsidDel="00000000" w:rsidP="00000000" w:rsidRDefault="00000000" w:rsidRPr="00000000" w14:paraId="0000002B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(i) descrição da necessidade/problema a ser resolvido; </w:t>
            </w:r>
          </w:p>
          <w:p w:rsidR="00000000" w:rsidDel="00000000" w:rsidP="00000000" w:rsidRDefault="00000000" w:rsidRPr="00000000" w14:paraId="0000002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(ii) estimativa do valor; </w:t>
            </w:r>
          </w:p>
          <w:p w:rsidR="00000000" w:rsidDel="00000000" w:rsidP="00000000" w:rsidRDefault="00000000" w:rsidRPr="00000000" w14:paraId="0000002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(iii) conclusão sobre a adequação da contratação para a necessidade a que se destina; e</w:t>
            </w:r>
          </w:p>
          <w:p w:rsidR="00000000" w:rsidDel="00000000" w:rsidP="00000000" w:rsidRDefault="00000000" w:rsidRPr="00000000" w14:paraId="0000002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(iv) caso aplicável, justificativa pela ausência dos demais itens não obrigatórios, previstos no Art. 18, parágrafo 1º, da Lei 14.133/2021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3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*Em caso de “não”, justificar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3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</w:tc>
      </w:tr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2.e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Análise de Riscos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 Em caso de “não”, justificar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4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4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2.f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Termo de Referência (TR)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Anteprojeto, Projeto Básico ou Projeto Executivo, conforme o caso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_______</w:t>
            </w:r>
          </w:p>
          <w:p w:rsidR="00000000" w:rsidDel="00000000" w:rsidP="00000000" w:rsidRDefault="00000000" w:rsidRPr="00000000" w14:paraId="0000004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2.g - Declaração de Justificativa de Leilão Presencial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 Pesquisa de preços, Valor estimado e Justificativa de Preços - Fls. 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3152"/>
        <w:tblGridChange w:id="0">
          <w:tblGrid>
            <w:gridCol w:w="5569"/>
            <w:gridCol w:w="3152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 Minuta de Edital de Concorrência Eletrônica – Fls. 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4.a. Utilizou-se o modelo padronizado de edital de concorrência eletrônica, adequado ao objeto pretendido?</w:t>
            </w:r>
          </w:p>
          <w:p w:rsidR="00000000" w:rsidDel="00000000" w:rsidP="00000000" w:rsidRDefault="00000000" w:rsidRPr="00000000" w14:paraId="0000005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4.b. Todos os campos foram devidamente preenchidos/justificados?</w:t>
            </w:r>
          </w:p>
          <w:p w:rsidR="00000000" w:rsidDel="00000000" w:rsidP="00000000" w:rsidRDefault="00000000" w:rsidRPr="00000000" w14:paraId="0000005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*Os critérios de aceitabilidade de preços deverão constar do edital de licitação para contratação de obras e serviços de engenharia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4.c. Indicar a versão utilizada - 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5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5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5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4.1. Minuta de Contrato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) SIM – Fls. ____________</w:t>
            </w:r>
          </w:p>
          <w:p w:rsidR="00000000" w:rsidDel="00000000" w:rsidP="00000000" w:rsidRDefault="00000000" w:rsidRPr="00000000" w14:paraId="0000006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4.1.a. Utilizou-se o modelo padronizado e pré-aprovado, adequado ao objeto pretendido?</w:t>
            </w:r>
          </w:p>
          <w:p w:rsidR="00000000" w:rsidDel="00000000" w:rsidP="00000000" w:rsidRDefault="00000000" w:rsidRPr="00000000" w14:paraId="0000006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4.1.b. Todos os campos foram devidamente preenchidos/justificados?</w:t>
            </w:r>
          </w:p>
          <w:p w:rsidR="00000000" w:rsidDel="00000000" w:rsidP="00000000" w:rsidRDefault="00000000" w:rsidRPr="00000000" w14:paraId="0000006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*A minuta de contrato deverá conter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cronograma físico-financeiro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com a especificação física completa das etapas necessárias à medição, ao monitoramento e ao controle das obras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4.1.c. Indicar a versão utilizada -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6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6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6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4.2. </w:t>
            </w:r>
          </w:p>
          <w:p w:rsidR="00000000" w:rsidDel="00000000" w:rsidP="00000000" w:rsidRDefault="00000000" w:rsidRPr="00000000" w14:paraId="00000071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) NÃO se trata de minuta padrão pré-aprovada</w:t>
            </w:r>
          </w:p>
          <w:p w:rsidR="00000000" w:rsidDel="00000000" w:rsidP="00000000" w:rsidRDefault="00000000" w:rsidRPr="00000000" w14:paraId="00000073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Instruído o procedimento até o presente, declaro, sob minha responsabilidade, que as informações constantes do presente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relatório de verificação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são verídicas e que o preenchimento dos requisitos legais ora elencados foi por mim verificado.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especificamente, que o edital de concorrência eletrônica e o termo de contrato utilizados:</w:t>
      </w:r>
    </w:p>
    <w:p w:rsidR="00000000" w:rsidDel="00000000" w:rsidP="00000000" w:rsidRDefault="00000000" w:rsidRPr="00000000" w14:paraId="00000079">
      <w:pPr>
        <w:spacing w:line="36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seguiram as minutas disponibilizadas e pré-aprovadas pela Procuradoria Geral,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 as seguintes modificações no texto, marcadas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[COR]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pelas justificativas abaixo: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seguiram as minutas-padrão, sendo pertinente destacar as seguintes peculiaridades, pelos motivos a seguir: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Pelo exposto, atesto a conformidade legal do procedimento adotado, solicitando o encaminhamento dos autos 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Procuradoria Geral da USP, para análise e parecer, nos termos do artigo 6º,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Portaria PG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 12, de 23 de fevereiro de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________________, ___ de _____________ de 20___.</w:t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(Nome e assinatura do servidor responsável)</w:t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87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sequência, após manifestação da PG e atendidos os requisitos legais e procedimentais para continuidade da contratação, a Unidade/Órgão deverá prosseguir com as seguintes etapas, a título informativo, no que couber:</w:t>
      </w:r>
    </w:p>
    <w:p w:rsidR="00000000" w:rsidDel="00000000" w:rsidP="00000000" w:rsidRDefault="00000000" w:rsidRPr="00000000" w14:paraId="00000088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1) Publicação do edital no PNCP e de seu extrato no DOE e jornal de grande circulação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9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data: __/__/____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 de apresentação de propostas e lances - __/__/____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*O prazo para apresentação de propostas e lances, contados da data de divulgação do edital, deve respeitar o prazo mínimo de 15 dias úteis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10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Nos termos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71, Lei 14.133/2021, e Art. 1º, inciso I, alíneas “c” a “f”, Portaria GR nº 8.321/2024,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encerradas as fases de julgamento e habilitação, o processo licitatório deverá ser encaminhado à autoridade superior competente para:</w:t>
      </w:r>
    </w:p>
    <w:p w:rsidR="00000000" w:rsidDel="00000000" w:rsidP="00000000" w:rsidRDefault="00000000" w:rsidRPr="00000000" w14:paraId="0000008D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decidir eventuais recursos apresentados por licitantes e/ou interessados; </w:t>
      </w:r>
    </w:p>
    <w:p w:rsidR="00000000" w:rsidDel="00000000" w:rsidP="00000000" w:rsidRDefault="00000000" w:rsidRPr="00000000" w14:paraId="0000008E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adjudicar o objeto da licitação ao licitante vencedor; </w:t>
      </w:r>
    </w:p>
    <w:p w:rsidR="00000000" w:rsidDel="00000000" w:rsidP="00000000" w:rsidRDefault="00000000" w:rsidRPr="00000000" w14:paraId="0000008F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homologar os atos praticados pelos responsáveis pela condução dos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procedimentos; </w:t>
      </w:r>
    </w:p>
    <w:p w:rsidR="00000000" w:rsidDel="00000000" w:rsidP="00000000" w:rsidRDefault="00000000" w:rsidRPr="00000000" w14:paraId="00000090">
      <w:pPr>
        <w:spacing w:after="80" w:before="8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anular ou revogar a licitação e procedimentos auxiliares.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Após finalização do procedimento de contratação, a unidade/órgão responsável deverá 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PUBLICAÇÃO E DIVULGAÇÃO, com manutenção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permanente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em sítio eletrônico oficial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Contrato e eventuais aditivos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Portal Nacional de Contratações Públicas (PNCP), no prazo de 20 (vinte) dias úteis,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contados da data de sua assinatura (Art. 94, inciso I, da Lei 14.133/2021);</w:t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985" w:left="2268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Versão 07.2024 NLLC – Leilão (encaminhamento PG)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67.641/2023.</w:t>
      </w:r>
    </w:p>
  </w:footnote>
  <w:footnote w:id="1"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“caput”, da Lei 14.133/2021.</w:t>
      </w:r>
    </w:p>
  </w:footnote>
  <w:footnote w:id="2"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12, inciso VII, da Lei 14.133/21.</w:t>
      </w:r>
    </w:p>
  </w:footnote>
  <w:footnote w:id="3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I, e parágrafos 1º, 2º e 3º, da Lei 14.133/2021, e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68.017/2023.</w:t>
      </w:r>
    </w:p>
  </w:footnote>
  <w:footnote w:id="4"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2º, da Lei 14.133/2021.</w:t>
      </w:r>
    </w:p>
  </w:footnote>
  <w:footnote w:id="5"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X, da Lei 14.133/2021.</w:t>
      </w:r>
    </w:p>
  </w:footnote>
  <w:footnote w:id="6"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II, da Lei 14.133/2021.</w:t>
      </w:r>
    </w:p>
  </w:footnote>
  <w:footnote w:id="7"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11, Decreto Federal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7.983/2013.</w:t>
      </w:r>
    </w:p>
  </w:footnote>
  <w:footnote w:id="8"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12, Decreto Federal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7.983/2013.</w:t>
      </w:r>
    </w:p>
  </w:footnote>
  <w:footnote w:id="9"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54, da Lei 14.133/2021.</w:t>
      </w:r>
    </w:p>
  </w:footnote>
  <w:footnote w:id="10"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55, III, da Lei 14.133/2021.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2124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7f7f7f"/>
        <w:sz w:val="46.66666666666667"/>
        <w:szCs w:val="46.66666666666667"/>
        <w:u w:val="none"/>
        <w:shd w:fill="auto" w:val="clear"/>
        <w:vertAlign w:val="superscript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-146683</wp:posOffset>
              </wp:positionH>
              <wp:positionV relativeFrom="paragraph">
                <wp:posOffset>-88264</wp:posOffset>
              </wp:positionV>
              <wp:extent cx="866775" cy="1085850"/>
              <wp:wrapNone/>
              <wp:docPr id="30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FB4" w:rsidDel="00000000" w:rsidP="00C75FB4" w:rsidRDefault="005C1A18" w:rsidRPr="00000000" w14:paraId="25AC1866" w14:textId="068F4C01">
                          <w:r w:rsidDel="00000000" w:rsidR="00000000" w:rsidRPr="00ED4DC3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428400" cy="612000"/>
                                <wp:effectExtent b="0" l="0" r="0" t="0"/>
                                <wp:docPr descr="\\nuvd01_home.usuarios.usp.br\NUV_D01_HOME_USER$\5649632\Desktop\brasao_usp_pb_contornos.jpg" id="2" name="Imagem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\\nuvd01_home.usuarios.usp.br\NUV_D01_HOME_USER$\5649632\Desktop\brasao_usp_pb_contornos.jpg" id="0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400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-146683</wp:posOffset>
              </wp:positionH>
              <wp:positionV relativeFrom="paragraph">
                <wp:posOffset>-88264</wp:posOffset>
              </wp:positionV>
              <wp:extent cx="866775" cy="1085850"/>
              <wp:effectExtent b="0" l="0" r="0" t="0"/>
              <wp:wrapNone/>
              <wp:docPr id="308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1085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1416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7f7f7f"/>
        <w:sz w:val="46.66666666666667"/>
        <w:szCs w:val="46.66666666666667"/>
        <w:u w:val="none"/>
        <w:shd w:fill="auto" w:val="clear"/>
        <w:vertAlign w:val="super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7f7f7f"/>
        <w:sz w:val="46.66666666666667"/>
        <w:szCs w:val="46.66666666666667"/>
        <w:u w:val="none"/>
        <w:shd w:fill="auto" w:val="clear"/>
        <w:vertAlign w:val="superscript"/>
        <w:rtl w:val="0"/>
      </w:rPr>
      <w:t xml:space="preserve">UNIVERSIDADE DE SÃO PAULO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250190" cy="24701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5668" y="3661255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250190" cy="247015"/>
              <wp:effectExtent b="0" l="0" r="0" t="0"/>
              <wp:wrapNone/>
              <wp:docPr id="3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190" cy="247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960" w:line="48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line="48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24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0" w:line="480" w:lineRule="auto"/>
      <w:ind w:firstLine="3402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443"/>
    <w:rPr>
      <w:rFonts w:ascii="Tms Rmn" w:hAnsi="Tms Rmn"/>
    </w:rPr>
  </w:style>
  <w:style w:type="paragraph" w:styleId="Heading1">
    <w:name w:val="heading 1"/>
    <w:basedOn w:val="Normal"/>
    <w:next w:val="Normal"/>
    <w:qFormat w:val="1"/>
    <w:rsid w:val="00EA7443"/>
    <w:pPr>
      <w:keepNext w:val="1"/>
      <w:spacing w:after="960" w:line="480" w:lineRule="exact"/>
      <w:jc w:val="center"/>
      <w:outlineLvl w:val="0"/>
    </w:pPr>
    <w:rPr>
      <w:rFonts w:ascii="Arial" w:hAnsi="Arial"/>
      <w:b w:val="1"/>
      <w:spacing w:val="60"/>
      <w:sz w:val="36"/>
    </w:rPr>
  </w:style>
  <w:style w:type="paragraph" w:styleId="Heading2">
    <w:name w:val="heading 2"/>
    <w:basedOn w:val="Normal"/>
    <w:next w:val="Normal"/>
    <w:qFormat w:val="1"/>
    <w:rsid w:val="00EA7443"/>
    <w:pPr>
      <w:keepNext w:val="1"/>
      <w:spacing w:line="480" w:lineRule="exact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 w:val="1"/>
    <w:rsid w:val="00EA7443"/>
    <w:pPr>
      <w:keepNext w:val="1"/>
      <w:spacing w:line="240" w:lineRule="exact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 w:val="1"/>
    <w:rsid w:val="00EA7443"/>
    <w:pPr>
      <w:keepNext w:val="1"/>
      <w:spacing w:after="600" w:line="480" w:lineRule="exact"/>
      <w:ind w:firstLine="3402"/>
      <w:outlineLvl w:val="3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 w:val="1"/>
    <w:rsid w:val="00EA7443"/>
    <w:pPr>
      <w:keepNext w:val="1"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 w:val="1"/>
    <w:rsid w:val="00EA7443"/>
    <w:pPr>
      <w:keepNext w:val="1"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Header">
    <w:name w:val="header"/>
    <w:basedOn w:val="Normal"/>
    <w:link w:val="HeaderChar"/>
    <w:rsid w:val="00A561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A56124"/>
    <w:pPr>
      <w:tabs>
        <w:tab w:val="center" w:pos="4252"/>
        <w:tab w:val="right" w:pos="8504"/>
      </w:tabs>
    </w:pPr>
  </w:style>
  <w:style w:type="character" w:styleId="HeaderChar" w:customStyle="1">
    <w:name w:val="Header Char"/>
    <w:link w:val="Header"/>
    <w:rsid w:val="0007592C"/>
    <w:rPr>
      <w:rFonts w:ascii="Arial" w:hAnsi="Arial"/>
      <w:sz w:val="24"/>
      <w:szCs w:val="24"/>
      <w:lang w:bidi="ar-SA" w:eastAsia="pt-BR" w:val="pt-BR"/>
    </w:rPr>
  </w:style>
  <w:style w:type="paragraph" w:styleId="BodyTextIndent">
    <w:name w:val="Body Text Indent"/>
    <w:basedOn w:val="Normal"/>
    <w:rsid w:val="00EA7443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EA7443"/>
    <w:pPr>
      <w:spacing w:after="480" w:line="240" w:lineRule="exac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0C48FE"/>
    <w:pP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rsid w:val="000C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PageNumber">
    <w:name w:val="page number"/>
    <w:basedOn w:val="DefaultParagraphFont"/>
    <w:rsid w:val="00C87E41"/>
  </w:style>
  <w:style w:type="paragraph" w:styleId="FootnoteText">
    <w:name w:val="footnote text"/>
    <w:basedOn w:val="Normal"/>
    <w:link w:val="FootnoteTextChar"/>
    <w:semiHidden w:val="1"/>
    <w:rsid w:val="001F3B38"/>
  </w:style>
  <w:style w:type="character" w:styleId="FootnoteReference">
    <w:name w:val="footnote reference"/>
    <w:semiHidden w:val="1"/>
    <w:rsid w:val="001F3B38"/>
    <w:rPr>
      <w:vertAlign w:val="superscript"/>
    </w:rPr>
  </w:style>
  <w:style w:type="character" w:styleId="Hyperlink">
    <w:name w:val="Hyperlink"/>
    <w:rsid w:val="00670081"/>
    <w:rPr>
      <w:color w:val="0000ff"/>
      <w:u w:val="single"/>
    </w:rPr>
  </w:style>
  <w:style w:type="paragraph" w:styleId="BalloonText">
    <w:name w:val="Balloon Text"/>
    <w:basedOn w:val="Normal"/>
    <w:semiHidden w:val="1"/>
    <w:rsid w:val="00EB49F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CF29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erChar" w:customStyle="1">
    <w:name w:val="Footer Char"/>
    <w:link w:val="Footer"/>
    <w:uiPriority w:val="99"/>
    <w:rsid w:val="0015621E"/>
    <w:rPr>
      <w:rFonts w:ascii="Tms Rmn" w:hAnsi="Tms Rmn"/>
    </w:rPr>
  </w:style>
  <w:style w:type="character" w:styleId="UnresolvedMention">
    <w:name w:val="Unresolved Mention"/>
    <w:uiPriority w:val="99"/>
    <w:semiHidden w:val="1"/>
    <w:unhideWhenUsed w:val="1"/>
    <w:rsid w:val="00FF5526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D00539"/>
    <w:rPr>
      <w:rFonts w:ascii="Tms Rmn" w:hAnsi="Tms Rmn"/>
    </w:rPr>
  </w:style>
  <w:style w:type="character" w:styleId="CommentReference">
    <w:name w:val="annotation reference"/>
    <w:rsid w:val="00293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50F"/>
  </w:style>
  <w:style w:type="character" w:styleId="CommentTextChar" w:customStyle="1">
    <w:name w:val="Comment Text Char"/>
    <w:link w:val="CommentText"/>
    <w:rsid w:val="0029350F"/>
    <w:rPr>
      <w:rFonts w:ascii="Tms Rmn" w:hAnsi="Tms Rmn"/>
    </w:rPr>
  </w:style>
  <w:style w:type="paragraph" w:styleId="CommentSubject">
    <w:name w:val="annotation subject"/>
    <w:basedOn w:val="CommentText"/>
    <w:next w:val="CommentText"/>
    <w:link w:val="CommentSubjectChar"/>
    <w:rsid w:val="0029350F"/>
    <w:rPr>
      <w:b w:val="1"/>
      <w:bCs w:val="1"/>
    </w:rPr>
  </w:style>
  <w:style w:type="character" w:styleId="CommentSubjectChar" w:customStyle="1">
    <w:name w:val="Comment Subject Char"/>
    <w:link w:val="CommentSubject"/>
    <w:rsid w:val="0029350F"/>
    <w:rPr>
      <w:rFonts w:ascii="Tms Rmn" w:hAnsi="Tms Rmn"/>
      <w:b w:val="1"/>
      <w:bCs w:val="1"/>
    </w:rPr>
  </w:style>
  <w:style w:type="character" w:styleId="cf01" w:customStyle="1">
    <w:name w:val="cf01"/>
    <w:rsid w:val="00CD16A3"/>
    <w:rPr>
      <w:rFonts w:ascii="Segoe UI" w:cs="Segoe UI" w:hAnsi="Segoe UI" w:hint="default"/>
      <w:sz w:val="18"/>
      <w:szCs w:val="18"/>
    </w:rPr>
  </w:style>
  <w:style w:type="character" w:styleId="FootnoteTextChar" w:customStyle="1">
    <w:name w:val="Footnote Text Char"/>
    <w:link w:val="FootnoteText"/>
    <w:semiHidden w:val="1"/>
    <w:rsid w:val="00FB587A"/>
    <w:rPr>
      <w:rFonts w:ascii="Tms Rmn" w:hAnsi="Tms Rmn"/>
    </w:rPr>
  </w:style>
  <w:style w:type="character" w:styleId="BodyTextIndent2Char" w:customStyle="1">
    <w:name w:val="Body Text Indent 2 Char"/>
    <w:link w:val="BodyTextIndent2"/>
    <w:rsid w:val="005C1A18"/>
    <w:rPr>
      <w:rFonts w:ascii="Arial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ItsH2UA9rdTw25KWEfA8UHTWg==">CgMxLjAyCGguZ2pkZ3hzOAByITEydVVyZ3o0QnZSZlhJRDRCS0p6NG1iTUZqM0d2WDl6Zg==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2024-07-04T23:15:00Z</dcterms:created>
  <dc:creator>Luis Gustavo</dc:creator>
</cp:coreProperties>
</file>